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仿宋_GB2312" w:hAnsi="仿宋_GB2312" w:eastAsia="仿宋_GB2312" w:cs="仿宋_GB2312"/>
          <w:color w:val="000000"/>
          <w:spacing w:val="-4"/>
          <w:kern w:val="0"/>
          <w:sz w:val="32"/>
          <w:szCs w:val="32"/>
        </w:rPr>
      </w:pPr>
      <w:bookmarkStart w:id="0" w:name="_GoBack"/>
      <w:bookmarkEnd w:id="0"/>
      <w:r>
        <w:rPr>
          <w:rFonts w:hint="eastAsia" w:ascii="仿宋_GB2312" w:hAnsi="仿宋_GB2312" w:eastAsia="仿宋_GB2312" w:cs="仿宋_GB2312"/>
          <w:color w:val="000000"/>
          <w:spacing w:val="-4"/>
          <w:kern w:val="0"/>
          <w:sz w:val="32"/>
          <w:szCs w:val="32"/>
          <w:lang w:val="en-US" w:eastAsia="zh-CN" w:bidi="ar-SA"/>
        </w:rPr>
        <w:drawing>
          <wp:anchor distT="0" distB="0" distL="0" distR="0" simplePos="0" relativeHeight="251658240" behindDoc="0" locked="0" layoutInCell="1" allowOverlap="1">
            <wp:simplePos x="0" y="0"/>
            <wp:positionH relativeFrom="column">
              <wp:posOffset>74295</wp:posOffset>
            </wp:positionH>
            <wp:positionV relativeFrom="paragraph">
              <wp:posOffset>1692275</wp:posOffset>
            </wp:positionV>
            <wp:extent cx="5238750" cy="1066800"/>
            <wp:effectExtent l="0" t="0" r="0" b="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lum bright="-41995" contrast="100000"/>
                    </a:blip>
                    <a:stretch>
                      <a:fillRect/>
                    </a:stretch>
                  </pic:blipFill>
                  <pic:spPr>
                    <a:xfrm>
                      <a:off x="0" y="0"/>
                      <a:ext cx="5238750" cy="1066800"/>
                    </a:xfrm>
                    <a:prstGeom prst="rect">
                      <a:avLst/>
                    </a:prstGeom>
                    <a:noFill/>
                    <a:ln w="9525">
                      <a:noFill/>
                    </a:ln>
                  </pic:spPr>
                </pic:pic>
              </a:graphicData>
            </a:graphic>
          </wp:anchor>
        </w:drawing>
      </w:r>
      <w:r>
        <w:rPr>
          <w:rFonts w:hint="eastAsia" w:ascii="仿宋_GB2312" w:hAnsi="仿宋" w:eastAsia="仿宋_GB2312" w:cs="仿宋_GB2312"/>
          <w:color w:val="000000"/>
          <w:spacing w:val="-4"/>
          <w:kern w:val="0"/>
          <w:sz w:val="32"/>
          <w:szCs w:val="32"/>
          <w:lang w:val="en-US" w:eastAsia="zh-CN"/>
        </w:rPr>
        <w:t xml:space="preserve">    </w:t>
      </w:r>
      <w:r>
        <w:rPr>
          <w:rFonts w:hint="eastAsia" w:ascii="仿宋_GB2312" w:hAnsi="仿宋_GB2312" w:eastAsia="仿宋_GB2312" w:cs="仿宋_GB2312"/>
          <w:color w:val="000000"/>
          <w:spacing w:val="-4"/>
          <w:kern w:val="0"/>
          <w:sz w:val="32"/>
          <w:szCs w:val="32"/>
          <w:lang w:eastAsia="zh-CN"/>
        </w:rPr>
        <w:t>有</w:t>
      </w:r>
      <w:r>
        <w:rPr>
          <w:rFonts w:hint="eastAsia" w:ascii="仿宋_GB2312" w:hAnsi="仿宋_GB2312" w:eastAsia="仿宋_GB2312" w:cs="仿宋_GB2312"/>
          <w:bCs/>
          <w:sz w:val="32"/>
          <w:szCs w:val="32"/>
        </w:rPr>
        <w:t>遴选</w:t>
      </w:r>
      <w:r>
        <w:rPr>
          <w:rFonts w:hint="eastAsia" w:ascii="仿宋_GB2312" w:hAnsi="仿宋_GB2312" w:eastAsia="仿宋_GB2312" w:cs="仿宋_GB2312"/>
          <w:bCs/>
          <w:sz w:val="32"/>
          <w:szCs w:val="32"/>
          <w:lang w:eastAsia="zh-CN"/>
        </w:rPr>
        <w:t>对象，请于</w:t>
      </w:r>
      <w:r>
        <w:rPr>
          <w:rFonts w:hint="eastAsia" w:ascii="仿宋_GB2312" w:hAnsi="仿宋_GB2312" w:eastAsia="仿宋_GB2312" w:cs="仿宋_GB2312"/>
          <w:bCs/>
          <w:sz w:val="32"/>
          <w:szCs w:val="32"/>
          <w:lang w:val="en-US" w:eastAsia="zh-CN"/>
        </w:rPr>
        <w:t>9月3日前将</w:t>
      </w:r>
      <w:r>
        <w:rPr>
          <w:rFonts w:hint="eastAsia" w:ascii="仿宋_GB2312" w:hAnsi="仿宋_GB2312" w:eastAsia="仿宋_GB2312" w:cs="仿宋_GB2312"/>
          <w:sz w:val="32"/>
          <w:szCs w:val="32"/>
        </w:rPr>
        <w:t>申报材料（见省厅文件）上报</w:t>
      </w:r>
      <w:r>
        <w:rPr>
          <w:rFonts w:hint="eastAsia" w:ascii="仿宋_GB2312" w:hAnsi="仿宋_GB2312" w:eastAsia="仿宋_GB2312" w:cs="仿宋_GB2312"/>
          <w:sz w:val="32"/>
          <w:szCs w:val="32"/>
          <w:lang w:eastAsia="zh-CN"/>
        </w:rPr>
        <w:t>区教育局办公室（</w:t>
      </w:r>
      <w:r>
        <w:rPr>
          <w:rFonts w:hint="eastAsia" w:ascii="仿宋_GB2312" w:hAnsi="仿宋_GB2312" w:eastAsia="仿宋_GB2312" w:cs="仿宋_GB2312"/>
          <w:sz w:val="32"/>
          <w:szCs w:val="32"/>
          <w:lang w:val="en-US" w:eastAsia="zh-CN"/>
        </w:rPr>
        <w:t>307</w:t>
      </w:r>
      <w:r>
        <w:rPr>
          <w:rFonts w:hint="eastAsia" w:ascii="仿宋_GB2312" w:hAnsi="仿宋_GB2312" w:eastAsia="仿宋_GB2312" w:cs="仿宋_GB2312"/>
          <w:sz w:val="32"/>
          <w:szCs w:val="32"/>
          <w:lang w:eastAsia="zh-CN"/>
        </w:rPr>
        <w:t>）。</w:t>
      </w:r>
    </w:p>
    <w:p>
      <w:pPr>
        <w:spacing w:line="600" w:lineRule="exact"/>
        <w:jc w:val="center"/>
        <w:rPr>
          <w:rFonts w:ascii="宋体" w:hAnsi="宋体"/>
          <w:b/>
          <w:sz w:val="36"/>
          <w:szCs w:val="36"/>
        </w:rPr>
      </w:pPr>
    </w:p>
    <w:p>
      <w:pPr>
        <w:spacing w:line="660" w:lineRule="exact"/>
        <w:jc w:val="center"/>
        <w:rPr>
          <w:rFonts w:hint="eastAsia" w:ascii="方正小标宋简体" w:hAnsi="方正小标宋简体" w:eastAsia="方正小标宋简体" w:cs="方正小标宋简体"/>
          <w:sz w:val="36"/>
          <w:szCs w:val="36"/>
        </w:rPr>
      </w:pPr>
    </w:p>
    <w:p>
      <w:pPr>
        <w:spacing w:line="660" w:lineRule="exact"/>
        <w:jc w:val="center"/>
        <w:rPr>
          <w:rFonts w:hint="eastAsia" w:ascii="方正小标宋简体" w:hAnsi="方正小标宋简体" w:eastAsia="方正小标宋简体" w:cs="方正小标宋简体"/>
          <w:sz w:val="36"/>
          <w:szCs w:val="36"/>
        </w:rPr>
      </w:pPr>
      <w:r>
        <w:rPr>
          <w:rFonts w:ascii="Calibri" w:hAnsi="Calibri" w:eastAsia="宋体" w:cs="黑体"/>
          <w:kern w:val="2"/>
          <w:sz w:val="21"/>
          <w:szCs w:val="24"/>
          <w:lang w:val="en-US" w:eastAsia="zh-CN" w:bidi="ar-SA"/>
        </w:rPr>
        <w:drawing>
          <wp:inline distT="0" distB="0" distL="114300" distR="114300">
            <wp:extent cx="5239385" cy="208280"/>
            <wp:effectExtent l="0" t="0" r="18415" b="1270"/>
            <wp:docPr id="2"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框 1027"/>
                    <pic:cNvPicPr>
                      <a:picLocks noChangeAspect="1"/>
                    </pic:cNvPicPr>
                  </pic:nvPicPr>
                  <pic:blipFill>
                    <a:blip r:embed="rId6">
                      <a:lum contrast="100000"/>
                    </a:blip>
                    <a:stretch>
                      <a:fillRect/>
                    </a:stretch>
                  </pic:blipFill>
                  <pic:spPr>
                    <a:xfrm>
                      <a:off x="0" y="0"/>
                      <a:ext cx="5239385" cy="208280"/>
                    </a:xfrm>
                    <a:prstGeom prst="rect">
                      <a:avLst/>
                    </a:prstGeom>
                    <a:noFill/>
                    <a:ln w="9525">
                      <a:noFill/>
                    </a:ln>
                  </pic:spPr>
                </pic:pic>
              </a:graphicData>
            </a:graphic>
          </wp:inline>
        </w:drawing>
      </w:r>
    </w:p>
    <w:p>
      <w:pPr>
        <w:spacing w:line="6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sz w:val="36"/>
          <w:szCs w:val="36"/>
        </w:rPr>
        <w:t>关于转发《</w:t>
      </w:r>
      <w:r>
        <w:rPr>
          <w:rFonts w:hint="eastAsia" w:ascii="方正小标宋简体" w:hAnsi="方正小标宋简体" w:eastAsia="方正小标宋简体" w:cs="方正小标宋简体"/>
          <w:bCs/>
          <w:sz w:val="36"/>
          <w:szCs w:val="36"/>
        </w:rPr>
        <w:t>福建省教育厅 中共福建省委组织部关于</w:t>
      </w:r>
    </w:p>
    <w:p>
      <w:pPr>
        <w:spacing w:line="6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组织开展2018年“万人计划”教学名师</w:t>
      </w:r>
    </w:p>
    <w:p>
      <w:pPr>
        <w:spacing w:line="6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遴选推荐工作的通知</w:t>
      </w:r>
      <w:r>
        <w:rPr>
          <w:rFonts w:hint="eastAsia" w:ascii="方正小标宋简体" w:hAnsi="方正小标宋简体" w:eastAsia="方正小标宋简体" w:cs="方正小标宋简体"/>
          <w:sz w:val="36"/>
          <w:szCs w:val="36"/>
        </w:rPr>
        <w:t>》的通知</w:t>
      </w:r>
    </w:p>
    <w:p>
      <w:pPr>
        <w:widowControl w:val="0"/>
        <w:wordWrap/>
        <w:adjustRightInd/>
        <w:snapToGrid/>
        <w:spacing w:before="0" w:after="0" w:line="460" w:lineRule="exact"/>
        <w:ind w:left="0" w:leftChars="0" w:right="0" w:firstLine="0" w:firstLineChars="0"/>
        <w:jc w:val="left"/>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县区（管委会）教育局（事务局），市教师进修学院、市直各有关学校（单位）：</w:t>
      </w:r>
    </w:p>
    <w:p>
      <w:pPr>
        <w:widowControl w:val="0"/>
        <w:wordWrap/>
        <w:adjustRightInd/>
        <w:snapToGrid/>
        <w:spacing w:before="0" w:after="0" w:line="460" w:lineRule="exact"/>
        <w:ind w:left="0" w:leftChars="0" w:right="0" w:firstLine="0"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    现将</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福建省教育厅 中共福建省委组织部关于组织开展2018年“万人计划”教学名师遴选推荐工作的通知</w:t>
      </w:r>
      <w:r>
        <w:rPr>
          <w:rFonts w:hint="eastAsia" w:ascii="仿宋_GB2312" w:hAnsi="仿宋_GB2312" w:eastAsia="仿宋_GB2312" w:cs="仿宋_GB2312"/>
          <w:sz w:val="32"/>
          <w:szCs w:val="32"/>
        </w:rPr>
        <w:t>》（</w:t>
      </w:r>
      <w:r>
        <w:rPr>
          <w:rFonts w:hint="eastAsia" w:ascii="仿宋_GB2312" w:hAnsi="宋体" w:eastAsia="仿宋_GB2312"/>
          <w:sz w:val="32"/>
          <w:szCs w:val="32"/>
        </w:rPr>
        <w:t>闽教师〔2018〕62号</w:t>
      </w:r>
      <w:r>
        <w:rPr>
          <w:rFonts w:hint="eastAsia" w:ascii="仿宋_GB2312" w:hAnsi="仿宋_GB2312" w:eastAsia="仿宋_GB2312" w:cs="仿宋_GB2312"/>
          <w:sz w:val="32"/>
          <w:szCs w:val="32"/>
        </w:rPr>
        <w:t>）转发给你们，请按照文件要求做好相关人员的推荐工作，并于9月3日前将申报材料（见省厅文件）上报人事科。联系人：程超平，电话：2684682，电子邮箱：ptsjyjrsk@163.com。</w:t>
      </w:r>
    </w:p>
    <w:p>
      <w:pPr>
        <w:widowControl w:val="0"/>
        <w:wordWrap/>
        <w:adjustRightInd/>
        <w:snapToGrid/>
        <w:spacing w:before="0" w:after="0" w:line="460" w:lineRule="exact"/>
        <w:ind w:left="0" w:leftChars="0" w:right="0" w:firstLine="0" w:firstLineChars="0"/>
        <w:jc w:val="left"/>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附件：福建省教育厅 中共福建省委组织部关于组织开展2018年“万人计划”教学名师遴选推荐工作的通知</w:t>
      </w:r>
    </w:p>
    <w:p>
      <w:pPr>
        <w:widowControl w:val="0"/>
        <w:wordWrap/>
        <w:adjustRightInd/>
        <w:snapToGrid/>
        <w:spacing w:before="0" w:after="0" w:line="460" w:lineRule="exact"/>
        <w:ind w:left="0" w:leftChars="0" w:right="0" w:firstLine="0" w:firstLineChars="0"/>
        <w:jc w:val="center"/>
        <w:textAlignment w:val="auto"/>
        <w:outlineLvl w:val="9"/>
        <w:rPr>
          <w:rFonts w:ascii="仿宋_GB2312" w:hAnsi="仿宋_GB2312" w:eastAsia="仿宋_GB2312" w:cs="仿宋_GB2312"/>
          <w:bCs/>
          <w:sz w:val="32"/>
          <w:szCs w:val="32"/>
        </w:rPr>
      </w:pPr>
    </w:p>
    <w:p>
      <w:pPr>
        <w:widowControl w:val="0"/>
        <w:wordWrap/>
        <w:adjustRightInd/>
        <w:snapToGrid/>
        <w:spacing w:before="0" w:after="0" w:line="460" w:lineRule="exact"/>
        <w:ind w:left="0" w:leftChars="0" w:right="0" w:firstLine="0" w:firstLineChars="0"/>
        <w:jc w:val="center"/>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莆田市教育局</w:t>
      </w:r>
    </w:p>
    <w:p>
      <w:pPr>
        <w:widowControl w:val="0"/>
        <w:wordWrap/>
        <w:adjustRightInd/>
        <w:snapToGrid/>
        <w:spacing w:before="0" w:after="0" w:line="460" w:lineRule="exact"/>
        <w:ind w:left="0" w:leftChars="0" w:right="0" w:firstLine="0" w:firstLineChars="0"/>
        <w:jc w:val="right"/>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2018年8月28日</w:t>
      </w:r>
    </w:p>
    <w:p>
      <w:pPr>
        <w:spacing w:line="660" w:lineRule="exact"/>
        <w:jc w:val="left"/>
        <w:rPr>
          <w:rFonts w:ascii="方正小标宋简体" w:hAnsi="方正小标宋简体" w:eastAsia="方正小标宋简体" w:cs="方正小标宋简体"/>
          <w:bCs/>
          <w:sz w:val="30"/>
          <w:szCs w:val="30"/>
        </w:rPr>
      </w:pPr>
    </w:p>
    <w:p>
      <w:pPr>
        <w:spacing w:line="660" w:lineRule="exact"/>
        <w:jc w:val="left"/>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附件</w:t>
      </w:r>
    </w:p>
    <w:p>
      <w:pPr>
        <w:spacing w:line="6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福建省教育厅 中共福建省委组织部关于组织</w:t>
      </w:r>
    </w:p>
    <w:p>
      <w:pPr>
        <w:spacing w:line="6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开展2018年“万人计划”教学名师遴选推荐工作的通知</w:t>
      </w:r>
    </w:p>
    <w:p>
      <w:pPr>
        <w:spacing w:line="600" w:lineRule="exact"/>
        <w:jc w:val="center"/>
        <w:rPr>
          <w:rFonts w:ascii="仿宋_GB2312" w:hAnsi="宋体" w:eastAsia="仿宋_GB2312"/>
          <w:sz w:val="32"/>
          <w:szCs w:val="32"/>
        </w:rPr>
      </w:pPr>
    </w:p>
    <w:p>
      <w:pPr>
        <w:spacing w:line="600" w:lineRule="exact"/>
        <w:jc w:val="center"/>
        <w:rPr>
          <w:rFonts w:ascii="仿宋_GB2312" w:hAnsi="宋体" w:eastAsia="仿宋_GB2312"/>
          <w:sz w:val="32"/>
          <w:szCs w:val="32"/>
        </w:rPr>
      </w:pPr>
      <w:r>
        <w:rPr>
          <w:rFonts w:hint="eastAsia" w:ascii="仿宋_GB2312" w:hAnsi="宋体" w:eastAsia="仿宋_GB2312"/>
          <w:sz w:val="32"/>
          <w:szCs w:val="32"/>
        </w:rPr>
        <w:t>闽教师〔2018〕62号</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各设区市党委组织部、政府教育局，平潭综合实验区党工委党群工作部、区教育局，各高等学校，省属中职学校、中小学、幼儿园: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hAnsi="宋体" w:eastAsia="仿宋_GB2312"/>
          <w:sz w:val="32"/>
          <w:szCs w:val="32"/>
        </w:rPr>
        <w:t>《教育部办公厅、中共中央组织部办公厅关于组织开展2018年国家“万人计划”教学名师遴选工作的通知》（教师厅〔2018〕6号）</w:t>
      </w:r>
      <w:r>
        <w:rPr>
          <w:rFonts w:hint="eastAsia" w:ascii="仿宋_GB2312" w:eastAsia="仿宋_GB2312"/>
          <w:sz w:val="32"/>
          <w:szCs w:val="32"/>
        </w:rPr>
        <w:t>精神，2018年“国家高层次人才特殊支持计划”（简称“万人计划”）教学名师遴选工作将于近期启动，拟在全国评选100名教学名师，其中高等学校教师占60%、中等及以下学校教师占40%。本次分配我省的申报推荐名额共14名（不含教育部直属高校）。为做好我省遴选申报工作，现将有关事项通知如下：</w:t>
      </w:r>
    </w:p>
    <w:p>
      <w:pPr>
        <w:spacing w:line="600" w:lineRule="exact"/>
        <w:ind w:firstLine="640" w:firstLineChars="200"/>
        <w:rPr>
          <w:rFonts w:ascii="黑体" w:eastAsia="黑体"/>
          <w:sz w:val="32"/>
          <w:szCs w:val="32"/>
        </w:rPr>
      </w:pPr>
      <w:r>
        <w:rPr>
          <w:rFonts w:hint="eastAsia" w:ascii="黑体" w:eastAsia="黑体"/>
          <w:sz w:val="32"/>
          <w:szCs w:val="32"/>
        </w:rPr>
        <w:t>一、遴选范围</w:t>
      </w:r>
    </w:p>
    <w:p>
      <w:pPr>
        <w:spacing w:line="600" w:lineRule="exact"/>
        <w:ind w:firstLine="592" w:firstLineChars="185"/>
        <w:rPr>
          <w:rFonts w:ascii="仿宋_GB2312" w:eastAsia="仿宋_GB2312"/>
          <w:sz w:val="32"/>
          <w:szCs w:val="32"/>
        </w:rPr>
      </w:pPr>
      <w:r>
        <w:rPr>
          <w:rFonts w:hint="eastAsia" w:ascii="仿宋_GB2312" w:eastAsia="仿宋_GB2312"/>
          <w:sz w:val="32"/>
          <w:szCs w:val="32"/>
        </w:rPr>
        <w:t>我省普通高等学校、高职院校、普通中小学、中等职业学校、幼儿园和特殊教育学校在职专任教师。</w:t>
      </w:r>
    </w:p>
    <w:p>
      <w:pPr>
        <w:spacing w:line="600" w:lineRule="exact"/>
        <w:ind w:firstLine="640" w:firstLineChars="200"/>
        <w:rPr>
          <w:rFonts w:ascii="黑体" w:eastAsia="黑体"/>
          <w:sz w:val="32"/>
          <w:szCs w:val="32"/>
        </w:rPr>
      </w:pPr>
      <w:r>
        <w:rPr>
          <w:rFonts w:hint="eastAsia" w:ascii="黑体" w:eastAsia="黑体"/>
          <w:sz w:val="32"/>
          <w:szCs w:val="32"/>
        </w:rPr>
        <w:t>二、推荐名额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福州大学、福建师范大学、福建农林大学等3所高校各推荐2名；其他省属本科高校、成人高校和省属高职院校各推荐1名；各设区市推荐3名（含以市为主管理的本科高校及按属地管理的高职院校），平潭综合实验区推荐1名；省属中职学校、中小学、幼儿园可各推荐1名。</w:t>
      </w:r>
    </w:p>
    <w:p>
      <w:pPr>
        <w:spacing w:line="600" w:lineRule="exact"/>
        <w:ind w:firstLine="640" w:firstLineChars="200"/>
        <w:rPr>
          <w:rFonts w:ascii="仿宋_GB2312" w:eastAsia="仿宋_GB2312"/>
          <w:b/>
          <w:sz w:val="32"/>
          <w:szCs w:val="32"/>
        </w:rPr>
      </w:pPr>
      <w:r>
        <w:rPr>
          <w:rFonts w:hint="eastAsia" w:ascii="黑体" w:eastAsia="黑体"/>
          <w:sz w:val="32"/>
          <w:szCs w:val="32"/>
        </w:rPr>
        <w:t>三、推荐人选条件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人选应忠诚于党和人民的教育事业，全面贯彻党的教育方针，为人师表，师德高尚；长期从事一线教学工作，培养优秀青少年有突出贡献；对教育思想和教学方法有重要创新，教学成果和教育质量突出；在教育领域和全社会享有较高声望，师生群众公认。同时应具备以下条件：</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b/>
          <w:bCs/>
          <w:sz w:val="32"/>
          <w:szCs w:val="32"/>
        </w:rPr>
        <w:t>（一）高等学校</w:t>
      </w:r>
      <w:r>
        <w:rPr>
          <w:rFonts w:hint="eastAsia" w:ascii="仿宋_GB2312" w:eastAsia="仿宋_GB2312"/>
          <w:sz w:val="32"/>
          <w:szCs w:val="32"/>
        </w:rPr>
        <w:br w:type="textWrapping"/>
      </w:r>
      <w:r>
        <w:rPr>
          <w:rFonts w:hint="eastAsia" w:ascii="仿宋_GB2312" w:eastAsia="仿宋_GB2312"/>
          <w:sz w:val="32"/>
          <w:szCs w:val="32"/>
        </w:rPr>
        <w:t>　　1.普通本科院校人选，应具有高级专业技术职务，近6学年（2012-2018学年）主讲课程的平均课堂教学工作量不少于96学时/学年，其中每学年必须为本科生主讲一门课程（医学专业任课教师按教学时数计算，本科教学工作量平均不少于60学时/学年，含案例教学和临床带教）。</w:t>
      </w:r>
      <w:r>
        <w:rPr>
          <w:rFonts w:hint="eastAsia" w:ascii="仿宋_GB2312" w:eastAsia="仿宋_GB2312"/>
          <w:sz w:val="32"/>
          <w:szCs w:val="32"/>
        </w:rPr>
        <w:br w:type="textWrapping"/>
      </w:r>
      <w:r>
        <w:rPr>
          <w:rFonts w:hint="eastAsia" w:ascii="仿宋_GB2312" w:eastAsia="仿宋_GB2312"/>
          <w:sz w:val="32"/>
          <w:szCs w:val="32"/>
        </w:rPr>
        <w:t>　　2.高等职业学校人选，应具有相关企事业单位一线实践工作经历，具有高级专业技术职务，近3学年（2015-2018学年）承担本校教学任务（包括实训、实习等实践课程）不少于180学时/学年。</w:t>
      </w:r>
      <w:r>
        <w:rPr>
          <w:rFonts w:hint="eastAsia" w:ascii="仿宋_GB2312" w:eastAsia="仿宋_GB2312"/>
          <w:sz w:val="32"/>
          <w:szCs w:val="32"/>
        </w:rPr>
        <w:br w:type="textWrapping"/>
      </w:r>
      <w:r>
        <w:rPr>
          <w:rFonts w:hint="eastAsia" w:ascii="仿宋_GB2312" w:eastAsia="仿宋_GB2312"/>
          <w:sz w:val="32"/>
          <w:szCs w:val="32"/>
        </w:rPr>
        <w:t>　　3.非现任校级领导。</w:t>
      </w:r>
      <w:r>
        <w:rPr>
          <w:rFonts w:hint="eastAsia" w:ascii="仿宋_GB2312" w:eastAsia="仿宋_GB2312"/>
          <w:sz w:val="32"/>
          <w:szCs w:val="32"/>
        </w:rPr>
        <w:br w:type="textWrapping"/>
      </w:r>
      <w:r>
        <w:rPr>
          <w:rFonts w:hint="eastAsia" w:ascii="仿宋_GB2312" w:eastAsia="仿宋_GB2312"/>
          <w:sz w:val="32"/>
          <w:szCs w:val="32"/>
        </w:rPr>
        <w:t>　　4.非国家“万人计划”其他类别申报者和国家“万人计划”领军人才入选者。</w:t>
      </w:r>
      <w:r>
        <w:rPr>
          <w:rFonts w:hint="eastAsia" w:ascii="仿宋_GB2312" w:eastAsia="仿宋_GB2312"/>
          <w:sz w:val="32"/>
          <w:szCs w:val="32"/>
        </w:rPr>
        <w:br w:type="textWrapping"/>
      </w:r>
      <w:r>
        <w:rPr>
          <w:rFonts w:hint="eastAsia" w:ascii="仿宋_GB2312" w:eastAsia="仿宋_GB2312"/>
          <w:b/>
          <w:bCs/>
          <w:sz w:val="32"/>
          <w:szCs w:val="32"/>
        </w:rPr>
        <w:t>　　（二）中等以下学校</w:t>
      </w:r>
      <w:r>
        <w:rPr>
          <w:rFonts w:hint="eastAsia" w:ascii="仿宋_GB2312" w:eastAsia="仿宋_GB2312"/>
          <w:sz w:val="32"/>
          <w:szCs w:val="32"/>
        </w:rPr>
        <w:br w:type="textWrapping"/>
      </w:r>
      <w:r>
        <w:rPr>
          <w:rFonts w:hint="eastAsia" w:ascii="仿宋_GB2312" w:eastAsia="仿宋_GB2312"/>
          <w:sz w:val="32"/>
          <w:szCs w:val="32"/>
        </w:rPr>
        <w:t>　　1.普通中小学校人选，原则上应具有高级专业技术职务，近6学年（2012-2018学年）主讲课程的平均课堂教学工作量不少于180学时/学年，其中每学年必须为中小学生主讲一门课程。幼儿园、特殊教育学校人选参照普通中小学校人选要求，并结合实际情况进行遴选。中小学及幼儿园人选应注重向乡村学校倾斜。</w:t>
      </w:r>
      <w:r>
        <w:rPr>
          <w:rFonts w:hint="eastAsia" w:ascii="仿宋_GB2312" w:eastAsia="仿宋_GB2312"/>
          <w:sz w:val="32"/>
          <w:szCs w:val="32"/>
        </w:rPr>
        <w:br w:type="textWrapping"/>
      </w:r>
      <w:r>
        <w:rPr>
          <w:rFonts w:hint="eastAsia" w:ascii="仿宋_GB2312" w:eastAsia="仿宋_GB2312"/>
          <w:sz w:val="32"/>
          <w:szCs w:val="32"/>
        </w:rPr>
        <w:t>　　2.中等职业学校人选，应具有相关企事业单位一线实践工作经历，原则上应具有高级专业技术职务，近3学年（2015-2018学年）承担本校教学任务（包括实训、实习等实践课程）不少于180学时/学年。</w:t>
      </w:r>
      <w:r>
        <w:rPr>
          <w:rFonts w:hint="eastAsia" w:ascii="仿宋_GB2312" w:eastAsia="仿宋_GB2312"/>
          <w:sz w:val="32"/>
          <w:szCs w:val="32"/>
        </w:rPr>
        <w:br w:type="textWrapping"/>
      </w:r>
      <w:r>
        <w:rPr>
          <w:rFonts w:hint="eastAsia" w:ascii="仿宋_GB2312" w:eastAsia="仿宋_GB2312"/>
          <w:sz w:val="32"/>
          <w:szCs w:val="32"/>
        </w:rPr>
        <w:t>　　3.非现任校级领导（承担教学任务的副职除外）。</w:t>
      </w:r>
      <w:r>
        <w:rPr>
          <w:rFonts w:hint="eastAsia" w:ascii="仿宋_GB2312" w:eastAsia="仿宋_GB2312"/>
          <w:sz w:val="32"/>
          <w:szCs w:val="32"/>
        </w:rPr>
        <w:br w:type="textWrapping"/>
      </w:r>
      <w:r>
        <w:rPr>
          <w:rFonts w:hint="eastAsia" w:ascii="仿宋_GB2312" w:eastAsia="仿宋_GB2312"/>
          <w:sz w:val="32"/>
          <w:szCs w:val="32"/>
        </w:rPr>
        <w:t>　　4.非国家“万人计划”其他类别申报者和国家“万人计划”领军人才入选者。</w:t>
      </w:r>
    </w:p>
    <w:p>
      <w:pPr>
        <w:spacing w:line="600" w:lineRule="exact"/>
        <w:ind w:firstLine="640" w:firstLineChars="200"/>
        <w:rPr>
          <w:rFonts w:ascii="黑体" w:eastAsia="黑体"/>
          <w:sz w:val="32"/>
          <w:szCs w:val="32"/>
        </w:rPr>
      </w:pPr>
      <w:r>
        <w:rPr>
          <w:rFonts w:hint="eastAsia" w:ascii="黑体" w:eastAsia="黑体"/>
          <w:sz w:val="32"/>
          <w:szCs w:val="32"/>
        </w:rPr>
        <w:t>四、申报程序和要求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（一）符合上述条件的教师向所在学校提出申请，学校经遴选并公示无异议后，向所属的教育行政部门进行推荐。以市为主管理的本科高校及按属地管理原则管理的高职院校向所在设区市教育局申报推荐。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（二）省属高校和省属中职学校、中小学、幼儿园直接向省教育厅申报推荐。</w:t>
      </w:r>
    </w:p>
    <w:p>
      <w:pPr>
        <w:spacing w:line="600" w:lineRule="exact"/>
        <w:ind w:firstLine="640" w:firstLineChars="200"/>
        <w:rPr>
          <w:rFonts w:ascii="仿宋_GB2312" w:hAnsi="仿宋" w:eastAsia="仿宋_GB2312" w:cs="Arial"/>
          <w:kern w:val="0"/>
          <w:sz w:val="32"/>
          <w:szCs w:val="32"/>
        </w:rPr>
      </w:pPr>
      <w:r>
        <w:rPr>
          <w:rFonts w:hint="eastAsia" w:ascii="仿宋_GB2312" w:eastAsia="仿宋_GB2312"/>
          <w:sz w:val="32"/>
          <w:szCs w:val="32"/>
        </w:rPr>
        <w:t>（三）各设区市、</w:t>
      </w:r>
      <w:r>
        <w:rPr>
          <w:rFonts w:hint="eastAsia" w:ascii="仿宋_GB2312" w:hAnsi="仿宋" w:eastAsia="仿宋_GB2312" w:cs="Arial"/>
          <w:kern w:val="0"/>
          <w:sz w:val="32"/>
          <w:szCs w:val="32"/>
        </w:rPr>
        <w:t>平潭综合实验区</w:t>
      </w:r>
      <w:r>
        <w:rPr>
          <w:rFonts w:hint="eastAsia" w:ascii="仿宋_GB2312" w:eastAsia="仿宋_GB2312"/>
          <w:sz w:val="32"/>
          <w:szCs w:val="32"/>
        </w:rPr>
        <w:t>教育局</w:t>
      </w:r>
      <w:r>
        <w:rPr>
          <w:rFonts w:hint="eastAsia" w:ascii="仿宋_GB2312" w:hAnsi="仿宋" w:eastAsia="仿宋_GB2312" w:cs="Arial"/>
          <w:kern w:val="0"/>
          <w:sz w:val="32"/>
          <w:szCs w:val="32"/>
        </w:rPr>
        <w:t>要按照分配的推荐名额，对县（区）教育局、直属学校及有关高校申报的推荐人选进行评审，</w:t>
      </w:r>
      <w:r>
        <w:rPr>
          <w:rFonts w:hint="eastAsia" w:ascii="仿宋_GB2312" w:eastAsia="仿宋_GB2312"/>
          <w:sz w:val="32"/>
          <w:szCs w:val="32"/>
        </w:rPr>
        <w:t>经公示无异议后报省教育厅。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（四）省教育厅将组织专家按照竞争择优、统筹兼顾原则，对各校申报的推荐人选进行评审，遴选出推荐对象，并在教育厅门户网站公示无异议后报教育部。</w:t>
      </w:r>
    </w:p>
    <w:p>
      <w:pPr>
        <w:spacing w:line="600" w:lineRule="exact"/>
        <w:ind w:firstLine="640" w:firstLineChars="200"/>
        <w:rPr>
          <w:rFonts w:ascii="黑体" w:eastAsia="黑体"/>
          <w:sz w:val="32"/>
          <w:szCs w:val="32"/>
        </w:rPr>
      </w:pPr>
      <w:r>
        <w:rPr>
          <w:rFonts w:hint="eastAsia" w:ascii="黑体" w:eastAsia="黑体"/>
          <w:sz w:val="32"/>
          <w:szCs w:val="32"/>
        </w:rPr>
        <w:t>五、申报材料和报送时间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材料包括书面材料和电子材料（光盘）。书面材料包括候选人汇总表、候选人推荐表（表样在教育部官网www.moe.edu.cn下载）及附件、学校党委对候选人思想政治及师德表现的书面意见各1份；电子材料包括候选人45分钟现场教学录像视频、候选人汇总表、候选人推荐表及附件（内容应与纸质材料一致）。</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各地各单位推荐人选申报材料（包括书面材料和电子材料）须于2018年9月10日前报省教育厅教师工作处。</w:t>
      </w:r>
      <w:r>
        <w:rPr>
          <w:rFonts w:hint="eastAsia" w:ascii="仿宋_GB2312" w:hAnsi="仿宋" w:eastAsia="仿宋_GB2312"/>
          <w:sz w:val="32"/>
          <w:szCs w:val="32"/>
        </w:rPr>
        <w:t>联系人：胡沁甡，电话：0591-87091527、0591-87832554（传真），电子邮箱：117652235@qq.com，地址：福州市鼓屏路162号（邮编：350003）。</w:t>
      </w:r>
    </w:p>
    <w:p>
      <w:pPr>
        <w:spacing w:line="600" w:lineRule="exact"/>
        <w:ind w:firstLine="640" w:firstLineChars="200"/>
        <w:rPr>
          <w:rFonts w:ascii="仿宋_GB2312" w:hAnsi="仿宋" w:eastAsia="仿宋_GB2312"/>
          <w:sz w:val="32"/>
          <w:szCs w:val="32"/>
        </w:rPr>
      </w:pPr>
    </w:p>
    <w:p>
      <w:pPr>
        <w:spacing w:line="600" w:lineRule="exact"/>
        <w:ind w:left="1918" w:leftChars="304" w:hanging="1280" w:hangingChars="400"/>
        <w:rPr>
          <w:rFonts w:ascii="仿宋_GB2312" w:hAnsi="仿宋" w:eastAsia="仿宋_GB2312"/>
          <w:sz w:val="32"/>
          <w:szCs w:val="32"/>
        </w:rPr>
      </w:pPr>
      <w:r>
        <w:rPr>
          <w:rFonts w:hint="eastAsia" w:ascii="仿宋_GB2312" w:hAnsi="仿宋" w:eastAsia="仿宋_GB2312"/>
          <w:sz w:val="32"/>
          <w:szCs w:val="32"/>
        </w:rPr>
        <w:t>附件：1.2018年国家“万人计划”教学名师候选人推荐汇总表</w:t>
      </w:r>
    </w:p>
    <w:p>
      <w:pPr>
        <w:spacing w:line="60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2.2018年国家“万人计划”教学名师遴选指标体系</w:t>
      </w:r>
    </w:p>
    <w:p>
      <w:pPr>
        <w:spacing w:line="700" w:lineRule="exact"/>
        <w:rPr>
          <w:rFonts w:ascii="仿宋_GB2312" w:eastAsia="仿宋_GB2312"/>
          <w:sz w:val="32"/>
          <w:szCs w:val="32"/>
        </w:rPr>
      </w:pPr>
    </w:p>
    <w:p>
      <w:pPr>
        <w:spacing w:line="700" w:lineRule="exact"/>
        <w:rPr>
          <w:rFonts w:ascii="仿宋_GB2312" w:hAnsi="仿宋" w:eastAsia="仿宋_GB2312"/>
          <w:sz w:val="32"/>
          <w:szCs w:val="32"/>
        </w:rPr>
      </w:pPr>
    </w:p>
    <w:p>
      <w:pPr>
        <w:spacing w:line="600" w:lineRule="exact"/>
        <w:jc w:val="center"/>
        <w:rPr>
          <w:rFonts w:ascii="仿宋_GB2312" w:hAnsi="仿宋" w:eastAsia="仿宋_GB2312"/>
          <w:sz w:val="32"/>
          <w:szCs w:val="32"/>
        </w:rPr>
      </w:pPr>
      <w:r>
        <w:rPr>
          <w:rFonts w:hint="eastAsia" w:ascii="仿宋_GB2312" w:hAnsi="仿宋" w:eastAsia="仿宋_GB2312"/>
          <w:sz w:val="32"/>
          <w:szCs w:val="32"/>
        </w:rPr>
        <w:t>福建省教育厅          中共福建省委组织部</w:t>
      </w:r>
    </w:p>
    <w:p>
      <w:pPr>
        <w:spacing w:line="600" w:lineRule="exact"/>
        <w:ind w:firstLine="4960" w:firstLineChars="1550"/>
        <w:rPr>
          <w:rFonts w:ascii="仿宋_GB2312" w:hAnsi="仿宋" w:eastAsia="仿宋_GB2312"/>
          <w:sz w:val="32"/>
          <w:szCs w:val="32"/>
        </w:rPr>
      </w:pPr>
      <w:r>
        <w:rPr>
          <w:rFonts w:hint="eastAsia" w:ascii="仿宋_GB2312" w:hAnsi="仿宋" w:eastAsia="仿宋_GB2312"/>
          <w:sz w:val="32"/>
          <w:szCs w:val="32"/>
        </w:rPr>
        <w:t>2018年8月15日</w:t>
      </w:r>
    </w:p>
    <w:p>
      <w:pPr>
        <w:spacing w:line="600" w:lineRule="exact"/>
        <w:rPr>
          <w:rFonts w:ascii="仿宋_GB2312" w:hAnsi="仿宋" w:eastAsia="仿宋_GB2312"/>
          <w:sz w:val="32"/>
          <w:szCs w:val="32"/>
        </w:rPr>
        <w:sectPr>
          <w:footerReference r:id="rId3" w:type="default"/>
          <w:pgSz w:w="11906" w:h="16838"/>
          <w:pgMar w:top="1417" w:right="1587" w:bottom="1417" w:left="1587" w:header="851" w:footer="992" w:gutter="0"/>
          <w:pgNumType w:fmt="numberInDash"/>
          <w:cols w:space="720"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400" w:lineRule="exact"/>
        <w:rPr>
          <w:rFonts w:ascii="方正小标宋简体" w:hAnsi="方正小标宋简体" w:eastAsia="方正小标宋简体" w:cs="方正小标宋简体"/>
          <w:sz w:val="44"/>
          <w:szCs w:val="44"/>
        </w:rPr>
      </w:pPr>
    </w:p>
    <w:p>
      <w:pPr>
        <w:spacing w:afterLines="50"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2018年国家“万人计划”教学名师候选人推荐汇总表</w:t>
      </w:r>
    </w:p>
    <w:p>
      <w:pPr>
        <w:spacing w:beforeLines="150" w:afterLines="50" w:line="520" w:lineRule="exact"/>
        <w:ind w:firstLine="280" w:firstLineChars="100"/>
        <w:rPr>
          <w:rFonts w:ascii="黑体" w:hAnsi="黑体" w:eastAsia="黑体"/>
          <w:sz w:val="28"/>
          <w:szCs w:val="28"/>
        </w:rPr>
      </w:pPr>
      <w:r>
        <w:rPr>
          <w:rFonts w:hint="eastAsia" w:ascii="黑体" w:hAnsi="黑体" w:eastAsia="黑体"/>
          <w:sz w:val="28"/>
          <w:szCs w:val="28"/>
        </w:rPr>
        <w:t>设区市教育局</w:t>
      </w:r>
      <w:r>
        <w:rPr>
          <w:rFonts w:ascii="黑体" w:hAnsi="黑体" w:eastAsia="黑体"/>
          <w:sz w:val="28"/>
          <w:szCs w:val="28"/>
        </w:rPr>
        <w:t>（单位）：</w:t>
      </w:r>
      <w:r>
        <w:rPr>
          <w:rFonts w:hint="eastAsia" w:ascii="黑体" w:hAnsi="黑体" w:eastAsia="黑体"/>
          <w:sz w:val="28"/>
          <w:szCs w:val="28"/>
        </w:rPr>
        <w:t xml:space="preserve">    </w:t>
      </w:r>
      <w:r>
        <w:rPr>
          <w:rFonts w:ascii="黑体" w:hAnsi="黑体" w:eastAsia="黑体"/>
          <w:sz w:val="28"/>
          <w:szCs w:val="28"/>
        </w:rPr>
        <w:t>（公章）</w:t>
      </w:r>
      <w:r>
        <w:rPr>
          <w:rFonts w:hint="eastAsia" w:ascii="黑体" w:hAnsi="黑体" w:eastAsia="黑体"/>
          <w:sz w:val="28"/>
          <w:szCs w:val="28"/>
        </w:rPr>
        <w:t xml:space="preserve">               联系人：                    电话：</w:t>
      </w:r>
    </w:p>
    <w:tbl>
      <w:tblPr>
        <w:tblStyle w:val="6"/>
        <w:tblW w:w="14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746"/>
        <w:gridCol w:w="1267"/>
        <w:gridCol w:w="1266"/>
        <w:gridCol w:w="1547"/>
        <w:gridCol w:w="2109"/>
        <w:gridCol w:w="2251"/>
        <w:gridCol w:w="2109"/>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34"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候选人姓名</w:t>
            </w:r>
          </w:p>
        </w:tc>
        <w:tc>
          <w:tcPr>
            <w:tcW w:w="746"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性别</w:t>
            </w:r>
          </w:p>
        </w:tc>
        <w:tc>
          <w:tcPr>
            <w:tcW w:w="1267"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出生</w:t>
            </w:r>
            <w:r>
              <w:rPr>
                <w:rFonts w:hint="eastAsia" w:ascii="Times New Roman" w:hAnsi="Times New Roman" w:eastAsia="方正仿宋简体"/>
                <w:b/>
                <w:kern w:val="0"/>
              </w:rPr>
              <w:t>日期</w:t>
            </w:r>
          </w:p>
        </w:tc>
        <w:tc>
          <w:tcPr>
            <w:tcW w:w="1266"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政治面貌</w:t>
            </w:r>
          </w:p>
        </w:tc>
        <w:tc>
          <w:tcPr>
            <w:tcW w:w="1547"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专业技术职务</w:t>
            </w:r>
          </w:p>
          <w:p>
            <w:pPr>
              <w:widowControl/>
              <w:jc w:val="center"/>
              <w:rPr>
                <w:rFonts w:ascii="Times New Roman" w:hAnsi="Times New Roman" w:eastAsia="方正仿宋简体"/>
                <w:b/>
                <w:kern w:val="0"/>
              </w:rPr>
            </w:pPr>
            <w:r>
              <w:rPr>
                <w:rFonts w:ascii="Times New Roman" w:hAnsi="Times New Roman" w:eastAsia="方正仿宋简体"/>
                <w:b/>
                <w:kern w:val="0"/>
              </w:rPr>
              <w:t>/职业资格证书</w:t>
            </w:r>
          </w:p>
        </w:tc>
        <w:tc>
          <w:tcPr>
            <w:tcW w:w="2109"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行政职务</w:t>
            </w:r>
          </w:p>
        </w:tc>
        <w:tc>
          <w:tcPr>
            <w:tcW w:w="2251"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主讲课程</w:t>
            </w:r>
          </w:p>
          <w:p>
            <w:pPr>
              <w:widowControl/>
              <w:jc w:val="center"/>
              <w:rPr>
                <w:rFonts w:ascii="Times New Roman" w:hAnsi="Times New Roman" w:eastAsia="方正仿宋简体"/>
                <w:b/>
                <w:kern w:val="0"/>
              </w:rPr>
            </w:pPr>
            <w:r>
              <w:rPr>
                <w:rFonts w:ascii="Times New Roman" w:hAnsi="Times New Roman" w:eastAsia="方正仿宋简体"/>
                <w:b/>
                <w:kern w:val="0"/>
              </w:rPr>
              <w:t>/教学专业领域</w:t>
            </w:r>
          </w:p>
        </w:tc>
        <w:tc>
          <w:tcPr>
            <w:tcW w:w="2109"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所属学校、院（系）</w:t>
            </w:r>
          </w:p>
        </w:tc>
        <w:tc>
          <w:tcPr>
            <w:tcW w:w="1857" w:type="dxa"/>
            <w:vAlign w:val="center"/>
          </w:tcPr>
          <w:p>
            <w:pPr>
              <w:widowControl/>
              <w:jc w:val="center"/>
              <w:rPr>
                <w:rFonts w:ascii="Times New Roman" w:hAnsi="Times New Roman" w:eastAsia="方正仿宋简体"/>
                <w:b/>
                <w:kern w:val="0"/>
              </w:rPr>
            </w:pPr>
            <w:r>
              <w:rPr>
                <w:rFonts w:ascii="Times New Roman" w:hAnsi="Times New Roman" w:eastAsia="方正仿宋简体"/>
                <w:b/>
                <w:kern w:val="0"/>
              </w:rPr>
              <w:t>类别（高等学校/</w:t>
            </w:r>
          </w:p>
          <w:p>
            <w:pPr>
              <w:widowControl/>
              <w:jc w:val="center"/>
              <w:rPr>
                <w:rFonts w:ascii="Times New Roman" w:hAnsi="Times New Roman" w:eastAsia="方正仿宋简体"/>
                <w:b/>
                <w:kern w:val="0"/>
              </w:rPr>
            </w:pPr>
            <w:r>
              <w:rPr>
                <w:rFonts w:ascii="Times New Roman" w:hAnsi="Times New Roman" w:eastAsia="方正仿宋简体"/>
                <w:b/>
                <w:kern w:val="0"/>
              </w:rPr>
              <w:t>中等以下学校）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1334" w:type="dxa"/>
            <w:vAlign w:val="center"/>
          </w:tcPr>
          <w:p>
            <w:pPr>
              <w:spacing w:line="520" w:lineRule="exact"/>
              <w:jc w:val="center"/>
              <w:rPr>
                <w:rFonts w:ascii="Times New Roman" w:hAnsi="Times New Roman" w:eastAsia="方正仿宋简体"/>
                <w:b/>
                <w:szCs w:val="21"/>
              </w:rPr>
            </w:pPr>
          </w:p>
        </w:tc>
        <w:tc>
          <w:tcPr>
            <w:tcW w:w="746" w:type="dxa"/>
            <w:vAlign w:val="center"/>
          </w:tcPr>
          <w:p>
            <w:pPr>
              <w:spacing w:line="520" w:lineRule="exact"/>
              <w:jc w:val="center"/>
              <w:rPr>
                <w:rFonts w:ascii="Times New Roman" w:hAnsi="Times New Roman" w:eastAsia="方正仿宋简体"/>
                <w:b/>
                <w:szCs w:val="21"/>
              </w:rPr>
            </w:pPr>
          </w:p>
        </w:tc>
        <w:tc>
          <w:tcPr>
            <w:tcW w:w="1267" w:type="dxa"/>
            <w:vAlign w:val="center"/>
          </w:tcPr>
          <w:p>
            <w:pPr>
              <w:spacing w:line="520" w:lineRule="exact"/>
              <w:jc w:val="center"/>
              <w:rPr>
                <w:rFonts w:ascii="Times New Roman" w:hAnsi="Times New Roman" w:eastAsia="方正仿宋简体"/>
                <w:b/>
                <w:szCs w:val="21"/>
              </w:rPr>
            </w:pPr>
          </w:p>
        </w:tc>
        <w:tc>
          <w:tcPr>
            <w:tcW w:w="1266" w:type="dxa"/>
            <w:vAlign w:val="center"/>
          </w:tcPr>
          <w:p>
            <w:pPr>
              <w:spacing w:line="520" w:lineRule="exact"/>
              <w:jc w:val="center"/>
              <w:rPr>
                <w:rFonts w:ascii="Times New Roman" w:hAnsi="Times New Roman" w:eastAsia="方正仿宋简体"/>
                <w:b/>
                <w:szCs w:val="21"/>
              </w:rPr>
            </w:pPr>
            <w:r>
              <w:rPr>
                <w:rFonts w:hint="eastAsia" w:ascii="Times New Roman" w:hAnsi="Times New Roman" w:eastAsia="方正仿宋简体"/>
                <w:b/>
                <w:szCs w:val="21"/>
              </w:rPr>
              <w:t>`</w:t>
            </w:r>
          </w:p>
        </w:tc>
        <w:tc>
          <w:tcPr>
            <w:tcW w:w="1547"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2251"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1857" w:type="dxa"/>
            <w:vAlign w:val="center"/>
          </w:tcPr>
          <w:p>
            <w:pPr>
              <w:spacing w:line="520" w:lineRule="exact"/>
              <w:jc w:val="center"/>
              <w:rPr>
                <w:rFonts w:ascii="Times New Roman" w:hAnsi="Times New Roman" w:eastAsia="方正仿宋简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1334" w:type="dxa"/>
            <w:vAlign w:val="center"/>
          </w:tcPr>
          <w:p>
            <w:pPr>
              <w:spacing w:line="520" w:lineRule="exact"/>
              <w:jc w:val="center"/>
              <w:rPr>
                <w:rFonts w:ascii="Times New Roman" w:hAnsi="Times New Roman" w:eastAsia="方正仿宋简体"/>
                <w:b/>
                <w:szCs w:val="21"/>
              </w:rPr>
            </w:pPr>
          </w:p>
        </w:tc>
        <w:tc>
          <w:tcPr>
            <w:tcW w:w="746" w:type="dxa"/>
            <w:vAlign w:val="center"/>
          </w:tcPr>
          <w:p>
            <w:pPr>
              <w:spacing w:line="520" w:lineRule="exact"/>
              <w:jc w:val="center"/>
              <w:rPr>
                <w:rFonts w:ascii="Times New Roman" w:hAnsi="Times New Roman" w:eastAsia="方正仿宋简体"/>
                <w:b/>
                <w:szCs w:val="21"/>
              </w:rPr>
            </w:pPr>
          </w:p>
        </w:tc>
        <w:tc>
          <w:tcPr>
            <w:tcW w:w="1267" w:type="dxa"/>
            <w:vAlign w:val="center"/>
          </w:tcPr>
          <w:p>
            <w:pPr>
              <w:spacing w:line="520" w:lineRule="exact"/>
              <w:jc w:val="center"/>
              <w:rPr>
                <w:rFonts w:ascii="Times New Roman" w:hAnsi="Times New Roman" w:eastAsia="方正仿宋简体"/>
                <w:b/>
                <w:szCs w:val="21"/>
              </w:rPr>
            </w:pPr>
          </w:p>
        </w:tc>
        <w:tc>
          <w:tcPr>
            <w:tcW w:w="1266" w:type="dxa"/>
            <w:vAlign w:val="center"/>
          </w:tcPr>
          <w:p>
            <w:pPr>
              <w:spacing w:line="520" w:lineRule="exact"/>
              <w:jc w:val="center"/>
              <w:rPr>
                <w:rFonts w:ascii="Times New Roman" w:hAnsi="Times New Roman" w:eastAsia="方正仿宋简体"/>
                <w:b/>
                <w:szCs w:val="21"/>
              </w:rPr>
            </w:pPr>
          </w:p>
        </w:tc>
        <w:tc>
          <w:tcPr>
            <w:tcW w:w="1547"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2251"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1857" w:type="dxa"/>
            <w:vAlign w:val="center"/>
          </w:tcPr>
          <w:p>
            <w:pPr>
              <w:spacing w:line="520" w:lineRule="exact"/>
              <w:jc w:val="center"/>
              <w:rPr>
                <w:rFonts w:ascii="Times New Roman" w:hAnsi="Times New Roman" w:eastAsia="方正仿宋简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1334" w:type="dxa"/>
            <w:vAlign w:val="center"/>
          </w:tcPr>
          <w:p>
            <w:pPr>
              <w:spacing w:line="520" w:lineRule="exact"/>
              <w:jc w:val="center"/>
              <w:rPr>
                <w:rFonts w:ascii="Times New Roman" w:hAnsi="Times New Roman" w:eastAsia="方正仿宋简体"/>
                <w:b/>
                <w:szCs w:val="21"/>
              </w:rPr>
            </w:pPr>
          </w:p>
        </w:tc>
        <w:tc>
          <w:tcPr>
            <w:tcW w:w="746" w:type="dxa"/>
            <w:vAlign w:val="center"/>
          </w:tcPr>
          <w:p>
            <w:pPr>
              <w:spacing w:line="520" w:lineRule="exact"/>
              <w:jc w:val="center"/>
              <w:rPr>
                <w:rFonts w:ascii="Times New Roman" w:hAnsi="Times New Roman" w:eastAsia="方正仿宋简体"/>
                <w:b/>
                <w:szCs w:val="21"/>
              </w:rPr>
            </w:pPr>
          </w:p>
        </w:tc>
        <w:tc>
          <w:tcPr>
            <w:tcW w:w="1267" w:type="dxa"/>
            <w:vAlign w:val="center"/>
          </w:tcPr>
          <w:p>
            <w:pPr>
              <w:spacing w:line="520" w:lineRule="exact"/>
              <w:jc w:val="center"/>
              <w:rPr>
                <w:rFonts w:ascii="Times New Roman" w:hAnsi="Times New Roman" w:eastAsia="方正仿宋简体"/>
                <w:b/>
                <w:szCs w:val="21"/>
              </w:rPr>
            </w:pPr>
          </w:p>
        </w:tc>
        <w:tc>
          <w:tcPr>
            <w:tcW w:w="1266" w:type="dxa"/>
            <w:vAlign w:val="center"/>
          </w:tcPr>
          <w:p>
            <w:pPr>
              <w:spacing w:line="520" w:lineRule="exact"/>
              <w:jc w:val="center"/>
              <w:rPr>
                <w:rFonts w:ascii="Times New Roman" w:hAnsi="Times New Roman" w:eastAsia="方正仿宋简体"/>
                <w:b/>
                <w:szCs w:val="21"/>
              </w:rPr>
            </w:pPr>
          </w:p>
        </w:tc>
        <w:tc>
          <w:tcPr>
            <w:tcW w:w="1547"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2251"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1857" w:type="dxa"/>
            <w:vAlign w:val="center"/>
          </w:tcPr>
          <w:p>
            <w:pPr>
              <w:spacing w:line="520" w:lineRule="exact"/>
              <w:jc w:val="center"/>
              <w:rPr>
                <w:rFonts w:ascii="Times New Roman" w:hAnsi="Times New Roman" w:eastAsia="方正仿宋简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1334" w:type="dxa"/>
            <w:vAlign w:val="center"/>
          </w:tcPr>
          <w:p>
            <w:pPr>
              <w:spacing w:line="520" w:lineRule="exact"/>
              <w:jc w:val="center"/>
              <w:rPr>
                <w:rFonts w:ascii="Times New Roman" w:hAnsi="Times New Roman" w:eastAsia="方正仿宋简体"/>
                <w:b/>
                <w:szCs w:val="21"/>
              </w:rPr>
            </w:pPr>
          </w:p>
        </w:tc>
        <w:tc>
          <w:tcPr>
            <w:tcW w:w="746" w:type="dxa"/>
            <w:vAlign w:val="center"/>
          </w:tcPr>
          <w:p>
            <w:pPr>
              <w:spacing w:line="520" w:lineRule="exact"/>
              <w:jc w:val="center"/>
              <w:rPr>
                <w:rFonts w:ascii="Times New Roman" w:hAnsi="Times New Roman" w:eastAsia="方正仿宋简体"/>
                <w:b/>
                <w:szCs w:val="21"/>
              </w:rPr>
            </w:pPr>
          </w:p>
        </w:tc>
        <w:tc>
          <w:tcPr>
            <w:tcW w:w="1267" w:type="dxa"/>
            <w:vAlign w:val="center"/>
          </w:tcPr>
          <w:p>
            <w:pPr>
              <w:spacing w:line="520" w:lineRule="exact"/>
              <w:jc w:val="center"/>
              <w:rPr>
                <w:rFonts w:ascii="Times New Roman" w:hAnsi="Times New Roman" w:eastAsia="方正仿宋简体"/>
                <w:b/>
                <w:szCs w:val="21"/>
              </w:rPr>
            </w:pPr>
          </w:p>
        </w:tc>
        <w:tc>
          <w:tcPr>
            <w:tcW w:w="1266" w:type="dxa"/>
            <w:vAlign w:val="center"/>
          </w:tcPr>
          <w:p>
            <w:pPr>
              <w:spacing w:line="520" w:lineRule="exact"/>
              <w:jc w:val="center"/>
              <w:rPr>
                <w:rFonts w:ascii="Times New Roman" w:hAnsi="Times New Roman" w:eastAsia="方正仿宋简体"/>
                <w:b/>
                <w:szCs w:val="21"/>
              </w:rPr>
            </w:pPr>
          </w:p>
        </w:tc>
        <w:tc>
          <w:tcPr>
            <w:tcW w:w="1547"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2251"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1857" w:type="dxa"/>
            <w:vAlign w:val="center"/>
          </w:tcPr>
          <w:p>
            <w:pPr>
              <w:spacing w:line="520" w:lineRule="exact"/>
              <w:jc w:val="center"/>
              <w:rPr>
                <w:rFonts w:ascii="Times New Roman" w:hAnsi="Times New Roman" w:eastAsia="方正仿宋简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exact"/>
        </w:trPr>
        <w:tc>
          <w:tcPr>
            <w:tcW w:w="1334" w:type="dxa"/>
            <w:vAlign w:val="center"/>
          </w:tcPr>
          <w:p>
            <w:pPr>
              <w:spacing w:line="520" w:lineRule="exact"/>
              <w:jc w:val="center"/>
              <w:rPr>
                <w:rFonts w:ascii="Times New Roman" w:hAnsi="Times New Roman" w:eastAsia="方正仿宋简体"/>
                <w:b/>
                <w:szCs w:val="21"/>
              </w:rPr>
            </w:pPr>
          </w:p>
        </w:tc>
        <w:tc>
          <w:tcPr>
            <w:tcW w:w="746" w:type="dxa"/>
            <w:vAlign w:val="center"/>
          </w:tcPr>
          <w:p>
            <w:pPr>
              <w:spacing w:line="520" w:lineRule="exact"/>
              <w:jc w:val="center"/>
              <w:rPr>
                <w:rFonts w:ascii="Times New Roman" w:hAnsi="Times New Roman" w:eastAsia="方正仿宋简体"/>
                <w:b/>
                <w:szCs w:val="21"/>
              </w:rPr>
            </w:pPr>
          </w:p>
        </w:tc>
        <w:tc>
          <w:tcPr>
            <w:tcW w:w="1267" w:type="dxa"/>
            <w:vAlign w:val="center"/>
          </w:tcPr>
          <w:p>
            <w:pPr>
              <w:spacing w:line="520" w:lineRule="exact"/>
              <w:jc w:val="center"/>
              <w:rPr>
                <w:rFonts w:ascii="Times New Roman" w:hAnsi="Times New Roman" w:eastAsia="方正仿宋简体"/>
                <w:b/>
                <w:szCs w:val="21"/>
              </w:rPr>
            </w:pPr>
          </w:p>
        </w:tc>
        <w:tc>
          <w:tcPr>
            <w:tcW w:w="1266" w:type="dxa"/>
            <w:vAlign w:val="center"/>
          </w:tcPr>
          <w:p>
            <w:pPr>
              <w:spacing w:line="520" w:lineRule="exact"/>
              <w:jc w:val="center"/>
              <w:rPr>
                <w:rFonts w:ascii="Times New Roman" w:hAnsi="Times New Roman" w:eastAsia="方正仿宋简体"/>
                <w:b/>
                <w:szCs w:val="21"/>
              </w:rPr>
            </w:pPr>
          </w:p>
        </w:tc>
        <w:tc>
          <w:tcPr>
            <w:tcW w:w="1547"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2251" w:type="dxa"/>
            <w:vAlign w:val="center"/>
          </w:tcPr>
          <w:p>
            <w:pPr>
              <w:spacing w:line="520" w:lineRule="exact"/>
              <w:jc w:val="center"/>
              <w:rPr>
                <w:rFonts w:ascii="Times New Roman" w:hAnsi="Times New Roman" w:eastAsia="方正仿宋简体"/>
                <w:b/>
                <w:szCs w:val="21"/>
              </w:rPr>
            </w:pPr>
          </w:p>
        </w:tc>
        <w:tc>
          <w:tcPr>
            <w:tcW w:w="2109" w:type="dxa"/>
            <w:vAlign w:val="center"/>
          </w:tcPr>
          <w:p>
            <w:pPr>
              <w:spacing w:line="520" w:lineRule="exact"/>
              <w:jc w:val="center"/>
              <w:rPr>
                <w:rFonts w:ascii="Times New Roman" w:hAnsi="Times New Roman" w:eastAsia="方正仿宋简体"/>
                <w:b/>
                <w:szCs w:val="21"/>
              </w:rPr>
            </w:pPr>
          </w:p>
        </w:tc>
        <w:tc>
          <w:tcPr>
            <w:tcW w:w="1857" w:type="dxa"/>
            <w:vAlign w:val="center"/>
          </w:tcPr>
          <w:p>
            <w:pPr>
              <w:spacing w:line="520" w:lineRule="exact"/>
              <w:jc w:val="center"/>
              <w:rPr>
                <w:rFonts w:ascii="Times New Roman" w:hAnsi="Times New Roman" w:eastAsia="方正仿宋简体"/>
                <w:b/>
                <w:szCs w:val="21"/>
              </w:rPr>
            </w:pPr>
          </w:p>
        </w:tc>
      </w:tr>
    </w:tbl>
    <w:p>
      <w:pPr>
        <w:spacing w:line="400" w:lineRule="exact"/>
        <w:ind w:firstLine="480" w:firstLineChars="200"/>
        <w:rPr>
          <w:rFonts w:ascii="Times New Roman" w:hAnsi="Times New Roman" w:eastAsia="方正仿宋简体"/>
          <w:sz w:val="24"/>
        </w:rPr>
      </w:pPr>
      <w:r>
        <w:rPr>
          <w:rFonts w:ascii="Times New Roman" w:hAnsi="黑体" w:eastAsia="黑体"/>
          <w:sz w:val="24"/>
        </w:rPr>
        <w:t>注：</w:t>
      </w:r>
      <w:r>
        <w:rPr>
          <w:rFonts w:ascii="Times New Roman" w:hAnsi="Times New Roman" w:eastAsia="方正仿宋简体"/>
          <w:sz w:val="24"/>
        </w:rPr>
        <w:t>1.出生</w:t>
      </w:r>
      <w:r>
        <w:rPr>
          <w:rFonts w:hint="eastAsia" w:ascii="Times New Roman" w:hAnsi="Times New Roman" w:eastAsia="方正仿宋简体"/>
          <w:sz w:val="24"/>
        </w:rPr>
        <w:t>日期：填写</w:t>
      </w:r>
      <w:r>
        <w:rPr>
          <w:rFonts w:ascii="Times New Roman" w:hAnsi="Times New Roman" w:eastAsia="方正仿宋简体"/>
          <w:sz w:val="24"/>
        </w:rPr>
        <w:t>格式为8位数字，如19680101；</w:t>
      </w:r>
      <w:r>
        <w:rPr>
          <w:rFonts w:hint="eastAsia" w:ascii="Times New Roman" w:hAnsi="Times New Roman" w:eastAsia="方正仿宋简体"/>
          <w:sz w:val="24"/>
        </w:rPr>
        <w:t>2.政治面貌：限填中共党员、中共预备党员、共青团员、民革党员、民盟盟员、民建会员、民进会员、农工党党员、致公党党员、九三学社社员、台盟盟员、无党派人士或群众。</w:t>
      </w:r>
    </w:p>
    <w:p>
      <w:pPr>
        <w:spacing w:line="600" w:lineRule="exact"/>
        <w:rPr>
          <w:rFonts w:ascii="仿宋_GB2312" w:hAnsi="仿宋" w:eastAsia="仿宋_GB2312"/>
          <w:sz w:val="32"/>
          <w:szCs w:val="32"/>
        </w:rPr>
        <w:sectPr>
          <w:pgSz w:w="16838" w:h="11906" w:orient="landscape"/>
          <w:pgMar w:top="1587" w:right="1417" w:bottom="1587" w:left="1417" w:header="851" w:footer="992" w:gutter="0"/>
          <w:pgNumType w:fmt="numberInDash"/>
          <w:cols w:space="720" w:num="1"/>
          <w:docGrid w:type="lines" w:linePitch="323"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2018年“万人计划”教学名师（高等学校）</w:t>
      </w:r>
    </w:p>
    <w:p>
      <w:pPr>
        <w:spacing w:line="560" w:lineRule="exact"/>
        <w:jc w:val="center"/>
        <w:rPr>
          <w:rFonts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遴选指标体系</w:t>
      </w:r>
    </w:p>
    <w:p>
      <w:pPr>
        <w:spacing w:beforeLines="5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（普通本科学校）</w:t>
      </w:r>
    </w:p>
    <w:tbl>
      <w:tblPr>
        <w:tblStyle w:val="6"/>
        <w:tblW w:w="90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262"/>
        <w:gridCol w:w="563"/>
        <w:gridCol w:w="65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1" w:hRule="atLeast"/>
          <w:jc w:val="center"/>
        </w:trPr>
        <w:tc>
          <w:tcPr>
            <w:tcW w:w="1910" w:type="dxa"/>
            <w:gridSpan w:val="2"/>
            <w:vMerge w:val="restart"/>
            <w:tcBorders>
              <w:top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遴选项目</w:t>
            </w:r>
          </w:p>
        </w:tc>
        <w:tc>
          <w:tcPr>
            <w:tcW w:w="56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分 值</w:t>
            </w:r>
          </w:p>
        </w:tc>
        <w:tc>
          <w:tcPr>
            <w:tcW w:w="6592" w:type="dxa"/>
            <w:vMerge w:val="restart"/>
            <w:tcBorders>
              <w:top w:val="single" w:color="auto" w:sz="4" w:space="0"/>
              <w:left w:val="single" w:color="auto" w:sz="4" w:space="0"/>
              <w:bottom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遴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1" w:hRule="atLeast"/>
          <w:jc w:val="center"/>
        </w:trPr>
        <w:tc>
          <w:tcPr>
            <w:tcW w:w="1910" w:type="dxa"/>
            <w:gridSpan w:val="2"/>
            <w:vMerge w:val="continue"/>
            <w:tcBorders>
              <w:top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b/>
                <w:bCs/>
                <w:sz w:val="24"/>
              </w:rPr>
            </w:pPr>
          </w:p>
        </w:tc>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b/>
                <w:bCs/>
                <w:sz w:val="24"/>
              </w:rPr>
            </w:pPr>
          </w:p>
        </w:tc>
        <w:tc>
          <w:tcPr>
            <w:tcW w:w="6592" w:type="dxa"/>
            <w:vMerge w:val="continue"/>
            <w:tcBorders>
              <w:top w:val="single" w:color="auto" w:sz="4" w:space="0"/>
              <w:left w:val="single" w:color="auto" w:sz="4" w:space="0"/>
              <w:bottom w:val="single" w:color="auto" w:sz="4" w:space="0"/>
            </w:tcBorders>
            <w:vAlign w:val="center"/>
          </w:tcPr>
          <w:p>
            <w:pPr>
              <w:widowControl/>
              <w:spacing w:line="280" w:lineRule="exact"/>
              <w:jc w:val="left"/>
              <w:rPr>
                <w:rFonts w:ascii="Times New Roman" w:hAnsi="Times New Roman" w:eastAsia="方正仿宋简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jc w:val="center"/>
        </w:trPr>
        <w:tc>
          <w:tcPr>
            <w:tcW w:w="1910" w:type="dxa"/>
            <w:gridSpan w:val="2"/>
            <w:tcBorders>
              <w:top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 师德风范</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hint="eastAsia" w:ascii="Times New Roman" w:hAnsi="Times New Roman" w:eastAsia="方正仿宋简体"/>
                <w:sz w:val="24"/>
              </w:rPr>
              <w:t>2</w:t>
            </w:r>
            <w:r>
              <w:rPr>
                <w:rFonts w:ascii="Times New Roman" w:hAnsi="Times New Roman" w:eastAsia="方正仿宋简体"/>
                <w:sz w:val="24"/>
              </w:rPr>
              <w:t>0</w:t>
            </w:r>
          </w:p>
        </w:tc>
        <w:tc>
          <w:tcPr>
            <w:tcW w:w="6592" w:type="dxa"/>
            <w:tcBorders>
              <w:top w:val="single" w:color="auto" w:sz="4" w:space="0"/>
              <w:left w:val="single" w:color="auto" w:sz="4" w:space="0"/>
              <w:bottom w:val="single" w:color="auto" w:sz="4" w:space="0"/>
            </w:tcBorders>
            <w:vAlign w:val="center"/>
          </w:tcPr>
          <w:p>
            <w:pPr>
              <w:spacing w:line="360" w:lineRule="exact"/>
              <w:rPr>
                <w:rFonts w:ascii="Times New Roman" w:hAnsi="Times New Roman" w:eastAsia="方正仿宋简体"/>
                <w:sz w:val="24"/>
              </w:rPr>
            </w:pPr>
            <w:r>
              <w:rPr>
                <w:rFonts w:ascii="Times New Roman" w:hAnsi="Times New Roman" w:eastAsia="方正仿宋简体"/>
                <w:sz w:val="24"/>
              </w:rPr>
              <w:t>爱国守法，敬业爱生，教书育人，严谨治学，服务社会，为人师表，堪为大学生健康成长的指导者和引路人。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20" w:hRule="atLeast"/>
          <w:jc w:val="center"/>
        </w:trPr>
        <w:tc>
          <w:tcPr>
            <w:tcW w:w="648" w:type="dxa"/>
            <w:vMerge w:val="restart"/>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2.</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教</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学</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能</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力</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与</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水</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平</w:t>
            </w:r>
          </w:p>
        </w:tc>
        <w:tc>
          <w:tcPr>
            <w:tcW w:w="12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教学思想与内容</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10</w:t>
            </w:r>
          </w:p>
        </w:tc>
        <w:tc>
          <w:tcPr>
            <w:tcW w:w="6592" w:type="dxa"/>
            <w:tcBorders>
              <w:top w:val="single" w:color="auto" w:sz="4" w:space="0"/>
              <w:left w:val="single" w:color="auto" w:sz="4" w:space="0"/>
              <w:bottom w:val="single" w:color="auto" w:sz="4" w:space="0"/>
            </w:tcBorders>
            <w:vAlign w:val="center"/>
          </w:tcPr>
          <w:p>
            <w:pPr>
              <w:spacing w:line="380" w:lineRule="exact"/>
              <w:rPr>
                <w:rFonts w:ascii="Times New Roman" w:hAnsi="Times New Roman" w:eastAsia="方正仿宋简体"/>
                <w:sz w:val="24"/>
              </w:rPr>
            </w:pPr>
            <w:r>
              <w:rPr>
                <w:rFonts w:ascii="Times New Roman" w:hAnsi="Times New Roman" w:eastAsia="方正仿宋简体"/>
                <w:sz w:val="24"/>
              </w:rPr>
              <w:t>遵循教育规律和人才成长规律，教育理念先进，具有国际视野。教学内容符合大学生认知特点，理论联系实际，能及时把学科最新发展和国内外教改成果转化为教学资源。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64" w:hRule="atLeast"/>
          <w:jc w:val="center"/>
        </w:trPr>
        <w:tc>
          <w:tcPr>
            <w:tcW w:w="648"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教学艺术与方法</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10</w:t>
            </w:r>
          </w:p>
        </w:tc>
        <w:tc>
          <w:tcPr>
            <w:tcW w:w="6592" w:type="dxa"/>
            <w:tcBorders>
              <w:top w:val="single" w:color="auto" w:sz="4" w:space="0"/>
              <w:left w:val="single" w:color="auto" w:sz="4" w:space="0"/>
              <w:bottom w:val="single" w:color="auto" w:sz="4" w:space="0"/>
            </w:tcBorders>
            <w:vAlign w:val="center"/>
          </w:tcPr>
          <w:p>
            <w:pPr>
              <w:spacing w:line="320" w:lineRule="exact"/>
              <w:rPr>
                <w:rFonts w:ascii="Times New Roman" w:hAnsi="Times New Roman" w:eastAsia="方正仿宋简体"/>
                <w:sz w:val="24"/>
              </w:rPr>
            </w:pPr>
            <w:r>
              <w:rPr>
                <w:rFonts w:ascii="Times New Roman" w:hAnsi="Times New Roman" w:eastAsia="方正仿宋简体"/>
                <w:sz w:val="24"/>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5" w:hRule="atLeast"/>
          <w:jc w:val="center"/>
        </w:trPr>
        <w:tc>
          <w:tcPr>
            <w:tcW w:w="648"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教学改革与成就</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w:t>
            </w:r>
            <w:r>
              <w:rPr>
                <w:rFonts w:hint="eastAsia" w:ascii="Times New Roman" w:hAnsi="Times New Roman" w:eastAsia="方正仿宋简体"/>
                <w:sz w:val="24"/>
              </w:rPr>
              <w:t>0</w:t>
            </w:r>
          </w:p>
        </w:tc>
        <w:tc>
          <w:tcPr>
            <w:tcW w:w="6592"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04" w:hRule="atLeast"/>
          <w:jc w:val="center"/>
        </w:trPr>
        <w:tc>
          <w:tcPr>
            <w:tcW w:w="648"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w:t>
            </w:r>
          </w:p>
          <w:p>
            <w:pPr>
              <w:spacing w:line="260" w:lineRule="exact"/>
              <w:jc w:val="center"/>
              <w:rPr>
                <w:rFonts w:ascii="Times New Roman" w:hAnsi="Times New Roman" w:eastAsia="方正仿宋简体"/>
                <w:sz w:val="24"/>
              </w:rPr>
            </w:pPr>
            <w:r>
              <w:rPr>
                <w:rFonts w:ascii="Times New Roman" w:hAnsi="Times New Roman" w:eastAsia="方正仿宋简体"/>
                <w:sz w:val="24"/>
              </w:rPr>
              <w:t>效果</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w:t>
            </w:r>
            <w:r>
              <w:rPr>
                <w:rFonts w:hint="eastAsia" w:ascii="Times New Roman" w:hAnsi="Times New Roman" w:eastAsia="方正仿宋简体"/>
                <w:sz w:val="24"/>
              </w:rPr>
              <w:t>5</w:t>
            </w:r>
          </w:p>
        </w:tc>
        <w:tc>
          <w:tcPr>
            <w:tcW w:w="6592" w:type="dxa"/>
            <w:tcBorders>
              <w:top w:val="single" w:color="auto" w:sz="4" w:space="0"/>
              <w:left w:val="single" w:color="auto" w:sz="4" w:space="0"/>
              <w:bottom w:val="single" w:color="auto" w:sz="4" w:space="0"/>
            </w:tcBorders>
            <w:vAlign w:val="center"/>
          </w:tcPr>
          <w:p>
            <w:pPr>
              <w:spacing w:line="320" w:lineRule="exact"/>
              <w:rPr>
                <w:rFonts w:ascii="Times New Roman" w:hAnsi="Times New Roman" w:eastAsia="方正仿宋简体"/>
                <w:sz w:val="24"/>
              </w:rPr>
            </w:pPr>
            <w:r>
              <w:rPr>
                <w:rFonts w:ascii="Times New Roman" w:hAnsi="Times New Roman" w:eastAsia="方正仿宋简体"/>
                <w:sz w:val="24"/>
              </w:rPr>
              <w:t>教学能力突出，教学风格鲜明，主讲课程达到国内同类课程领先水平，大学生评价优秀，得到同行公认，具有示范引领作用，在全国有较大影响。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4" w:hRule="atLeast"/>
          <w:jc w:val="center"/>
        </w:trPr>
        <w:tc>
          <w:tcPr>
            <w:tcW w:w="648"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教材</w:t>
            </w:r>
          </w:p>
          <w:p>
            <w:pPr>
              <w:spacing w:line="260" w:lineRule="exact"/>
              <w:jc w:val="center"/>
              <w:rPr>
                <w:rFonts w:ascii="Times New Roman" w:hAnsi="Times New Roman" w:eastAsia="方正仿宋简体"/>
                <w:sz w:val="24"/>
              </w:rPr>
            </w:pPr>
            <w:r>
              <w:rPr>
                <w:rFonts w:ascii="Times New Roman" w:hAnsi="Times New Roman" w:eastAsia="方正仿宋简体"/>
                <w:sz w:val="24"/>
              </w:rPr>
              <w:t>建设</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10</w:t>
            </w:r>
          </w:p>
        </w:tc>
        <w:tc>
          <w:tcPr>
            <w:tcW w:w="6592" w:type="dxa"/>
            <w:tcBorders>
              <w:top w:val="single" w:color="auto" w:sz="4" w:space="0"/>
              <w:left w:val="single" w:color="auto" w:sz="4" w:space="0"/>
              <w:bottom w:val="single" w:color="auto" w:sz="4" w:space="0"/>
            </w:tcBorders>
            <w:vAlign w:val="center"/>
          </w:tcPr>
          <w:p>
            <w:pPr>
              <w:spacing w:line="240" w:lineRule="exact"/>
              <w:rPr>
                <w:rFonts w:ascii="Times New Roman" w:hAnsi="Times New Roman" w:eastAsia="方正仿宋简体"/>
                <w:sz w:val="24"/>
              </w:rPr>
            </w:pPr>
            <w:r>
              <w:rPr>
                <w:rFonts w:ascii="Times New Roman" w:hAnsi="Times New Roman" w:eastAsia="方正仿宋简体"/>
                <w:sz w:val="24"/>
              </w:rPr>
              <w:t>自编、主编的本科教材，质量高、有特色、版本新。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9" w:hRule="atLeast"/>
          <w:jc w:val="center"/>
        </w:trPr>
        <w:tc>
          <w:tcPr>
            <w:tcW w:w="1910" w:type="dxa"/>
            <w:gridSpan w:val="2"/>
            <w:tcBorders>
              <w:top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3．教学梯队建设与贡献</w:t>
            </w:r>
          </w:p>
        </w:tc>
        <w:tc>
          <w:tcPr>
            <w:tcW w:w="563"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15</w:t>
            </w:r>
          </w:p>
        </w:tc>
        <w:tc>
          <w:tcPr>
            <w:tcW w:w="6592" w:type="dxa"/>
            <w:tcBorders>
              <w:top w:val="single" w:color="auto" w:sz="4" w:space="0"/>
              <w:left w:val="single" w:color="auto" w:sz="4" w:space="0"/>
              <w:bottom w:val="single" w:color="auto" w:sz="4" w:space="0"/>
            </w:tcBorders>
            <w:vAlign w:val="center"/>
          </w:tcPr>
          <w:p>
            <w:pPr>
              <w:spacing w:line="320" w:lineRule="exact"/>
              <w:rPr>
                <w:rFonts w:ascii="Times New Roman" w:hAnsi="Times New Roman" w:eastAsia="方正仿宋简体"/>
                <w:sz w:val="24"/>
              </w:rPr>
            </w:pPr>
            <w:r>
              <w:rPr>
                <w:rFonts w:ascii="Times New Roman" w:hAnsi="Times New Roman" w:eastAsia="方正仿宋简体"/>
                <w:sz w:val="24"/>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0" w:hRule="atLeast"/>
          <w:jc w:val="center"/>
        </w:trPr>
        <w:tc>
          <w:tcPr>
            <w:tcW w:w="1910" w:type="dxa"/>
            <w:gridSpan w:val="2"/>
            <w:tcBorders>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4.科学研究与学术水平</w:t>
            </w:r>
          </w:p>
        </w:tc>
        <w:tc>
          <w:tcPr>
            <w:tcW w:w="563" w:type="dxa"/>
            <w:tcBorders>
              <w:top w:val="single" w:color="auto" w:sz="4" w:space="0"/>
              <w:left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10</w:t>
            </w:r>
          </w:p>
        </w:tc>
        <w:tc>
          <w:tcPr>
            <w:tcW w:w="6592" w:type="dxa"/>
            <w:tcBorders>
              <w:top w:val="single" w:color="auto" w:sz="4" w:space="0"/>
              <w:left w:val="single" w:color="auto" w:sz="4" w:space="0"/>
            </w:tcBorders>
            <w:vAlign w:val="center"/>
          </w:tcPr>
          <w:p>
            <w:pPr>
              <w:spacing w:line="340" w:lineRule="exact"/>
              <w:rPr>
                <w:rFonts w:ascii="Times New Roman" w:hAnsi="Times New Roman" w:eastAsia="方正仿宋简体"/>
                <w:kern w:val="13"/>
                <w:sz w:val="24"/>
              </w:rPr>
            </w:pPr>
            <w:r>
              <w:rPr>
                <w:rFonts w:ascii="Times New Roman" w:hAnsi="Times New Roman" w:eastAsia="方正仿宋简体"/>
                <w:sz w:val="24"/>
              </w:rPr>
              <w:t>主持或承担重要科研项目，发表出版高质量的论文或专著，</w:t>
            </w:r>
            <w:r>
              <w:rPr>
                <w:rFonts w:ascii="Times New Roman" w:hAnsi="Times New Roman" w:eastAsia="方正仿宋简体"/>
                <w:kern w:val="13"/>
                <w:sz w:val="24"/>
              </w:rPr>
              <w:t>在国内外同领域具有较高学术地位和知名度</w:t>
            </w:r>
            <w:r>
              <w:rPr>
                <w:rFonts w:ascii="Times New Roman" w:hAnsi="Times New Roman" w:eastAsia="方正仿宋简体"/>
                <w:sz w:val="24"/>
              </w:rPr>
              <w:t>。</w:t>
            </w:r>
          </w:p>
        </w:tc>
      </w:tr>
    </w:tbl>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2018年“万人计划”教学名师（高等学校）</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遴选指标体系</w:t>
      </w:r>
    </w:p>
    <w:p>
      <w:pPr>
        <w:spacing w:beforeLines="5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（高等职业学校）</w:t>
      </w:r>
    </w:p>
    <w:tbl>
      <w:tblPr>
        <w:tblStyle w:val="6"/>
        <w:tblW w:w="9235" w:type="dxa"/>
        <w:jc w:val="center"/>
        <w:tblInd w:w="-12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0"/>
        <w:gridCol w:w="1260"/>
        <w:gridCol w:w="631"/>
        <w:gridCol w:w="66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jc w:val="center"/>
        </w:trPr>
        <w:tc>
          <w:tcPr>
            <w:tcW w:w="1930" w:type="dxa"/>
            <w:gridSpan w:val="2"/>
            <w:vMerge w:val="restart"/>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b/>
                <w:bCs/>
                <w:sz w:val="24"/>
              </w:rPr>
            </w:pPr>
            <w:r>
              <w:rPr>
                <w:rFonts w:ascii="Times New Roman" w:hAnsi="Times New Roman" w:eastAsia="方正仿宋简体"/>
                <w:b/>
                <w:bCs/>
                <w:sz w:val="24"/>
              </w:rPr>
              <w:t>评选项目</w:t>
            </w:r>
          </w:p>
        </w:tc>
        <w:tc>
          <w:tcPr>
            <w:tcW w:w="63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b/>
                <w:bCs/>
                <w:sz w:val="24"/>
              </w:rPr>
            </w:pPr>
            <w:r>
              <w:rPr>
                <w:rFonts w:ascii="Times New Roman" w:hAnsi="Times New Roman" w:eastAsia="方正仿宋简体"/>
                <w:b/>
                <w:bCs/>
                <w:sz w:val="24"/>
              </w:rPr>
              <w:t>分</w:t>
            </w:r>
          </w:p>
          <w:p>
            <w:pPr>
              <w:snapToGrid w:val="0"/>
              <w:spacing w:line="300" w:lineRule="exact"/>
              <w:jc w:val="center"/>
              <w:rPr>
                <w:rFonts w:ascii="Times New Roman" w:hAnsi="Times New Roman" w:eastAsia="方正仿宋简体"/>
                <w:b/>
                <w:bCs/>
                <w:sz w:val="24"/>
              </w:rPr>
            </w:pPr>
            <w:r>
              <w:rPr>
                <w:rFonts w:ascii="Times New Roman" w:hAnsi="Times New Roman" w:eastAsia="方正仿宋简体"/>
                <w:b/>
                <w:bCs/>
                <w:sz w:val="24"/>
              </w:rPr>
              <w:t>值</w:t>
            </w:r>
          </w:p>
        </w:tc>
        <w:tc>
          <w:tcPr>
            <w:tcW w:w="6674" w:type="dxa"/>
            <w:vMerge w:val="restart"/>
            <w:tcBorders>
              <w:top w:val="single" w:color="auto" w:sz="4" w:space="0"/>
              <w:left w:val="single" w:color="auto" w:sz="4" w:space="0"/>
              <w:bottom w:val="single" w:color="auto" w:sz="4" w:space="0"/>
            </w:tcBorders>
            <w:vAlign w:val="center"/>
          </w:tcPr>
          <w:p>
            <w:pPr>
              <w:snapToGrid w:val="0"/>
              <w:spacing w:line="280" w:lineRule="exact"/>
              <w:jc w:val="center"/>
              <w:rPr>
                <w:rFonts w:ascii="Times New Roman" w:hAnsi="Times New Roman" w:eastAsia="方正仿宋简体"/>
                <w:b/>
                <w:bCs/>
                <w:sz w:val="24"/>
              </w:rPr>
            </w:pPr>
            <w:r>
              <w:rPr>
                <w:rFonts w:ascii="Times New Roman" w:hAnsi="Times New Roman" w:eastAsia="方正仿宋简体"/>
                <w:b/>
                <w:bCs/>
                <w:sz w:val="24"/>
              </w:rPr>
              <w:t>评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jc w:val="center"/>
        </w:trPr>
        <w:tc>
          <w:tcPr>
            <w:tcW w:w="1930" w:type="dxa"/>
            <w:gridSpan w:val="2"/>
            <w:vMerge w:val="continue"/>
            <w:tcBorders>
              <w:top w:val="single" w:color="auto" w:sz="4" w:space="0"/>
              <w:bottom w:val="single" w:color="auto" w:sz="4" w:space="0"/>
              <w:right w:val="single" w:color="auto" w:sz="4" w:space="0"/>
            </w:tcBorders>
            <w:vAlign w:val="center"/>
          </w:tcPr>
          <w:p>
            <w:pPr>
              <w:widowControl/>
              <w:snapToGrid w:val="0"/>
              <w:spacing w:line="300" w:lineRule="exact"/>
              <w:rPr>
                <w:rFonts w:ascii="Times New Roman" w:hAnsi="Times New Roman" w:eastAsia="方正仿宋简体"/>
                <w:sz w:val="24"/>
              </w:rPr>
            </w:pPr>
          </w:p>
        </w:tc>
        <w:tc>
          <w:tcPr>
            <w:tcW w:w="63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简体"/>
                <w:sz w:val="24"/>
              </w:rPr>
            </w:pPr>
          </w:p>
        </w:tc>
        <w:tc>
          <w:tcPr>
            <w:tcW w:w="6674" w:type="dxa"/>
            <w:vMerge w:val="continue"/>
            <w:tcBorders>
              <w:top w:val="single" w:color="auto" w:sz="4" w:space="0"/>
              <w:left w:val="single" w:color="auto" w:sz="4" w:space="0"/>
              <w:bottom w:val="single" w:color="auto" w:sz="4" w:space="0"/>
            </w:tcBorders>
            <w:vAlign w:val="center"/>
          </w:tcPr>
          <w:p>
            <w:pPr>
              <w:widowControl/>
              <w:snapToGrid w:val="0"/>
              <w:spacing w:line="280" w:lineRule="exac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9" w:hRule="atLeast"/>
          <w:jc w:val="center"/>
        </w:trPr>
        <w:tc>
          <w:tcPr>
            <w:tcW w:w="193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1.师德风范</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hint="eastAsia" w:ascii="Times New Roman" w:hAnsi="Times New Roman" w:eastAsia="方正仿宋简体"/>
                <w:sz w:val="24"/>
              </w:rPr>
              <w:t>2</w:t>
            </w:r>
            <w:r>
              <w:rPr>
                <w:rFonts w:ascii="Times New Roman" w:hAnsi="Times New Roman" w:eastAsia="方正仿宋简体"/>
                <w:sz w:val="24"/>
              </w:rPr>
              <w:t>0</w:t>
            </w:r>
          </w:p>
        </w:tc>
        <w:tc>
          <w:tcPr>
            <w:tcW w:w="6674" w:type="dxa"/>
            <w:tcBorders>
              <w:top w:val="single" w:color="auto" w:sz="4" w:space="0"/>
              <w:left w:val="single" w:color="auto" w:sz="4" w:space="0"/>
              <w:bottom w:val="single" w:color="auto" w:sz="4" w:space="0"/>
            </w:tcBorders>
            <w:vAlign w:val="center"/>
          </w:tcPr>
          <w:p>
            <w:pPr>
              <w:snapToGrid w:val="0"/>
              <w:spacing w:line="340" w:lineRule="exact"/>
              <w:rPr>
                <w:rFonts w:ascii="Times New Roman" w:hAnsi="Times New Roman" w:eastAsia="方正仿宋简体"/>
                <w:sz w:val="24"/>
              </w:rPr>
            </w:pPr>
            <w:r>
              <w:rPr>
                <w:rFonts w:ascii="Times New Roman" w:hAnsi="Times New Roman" w:eastAsia="方正仿宋简体"/>
                <w:sz w:val="24"/>
              </w:rPr>
              <w:t>政治立场坚定，以教书育人为己任；爱岗敬业，以全身心投入为常态；治学严谨，知行统一，师德高尚，为人师表。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57" w:hRule="atLeast"/>
          <w:jc w:val="center"/>
        </w:trPr>
        <w:tc>
          <w:tcPr>
            <w:tcW w:w="193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hint="eastAsia" w:ascii="Times New Roman" w:hAnsi="Times New Roman" w:eastAsia="方正仿宋简体"/>
                <w:sz w:val="24"/>
              </w:rPr>
              <w:t>2.</w:t>
            </w:r>
            <w:r>
              <w:rPr>
                <w:rFonts w:ascii="Times New Roman" w:hAnsi="Times New Roman" w:eastAsia="方正仿宋简体"/>
                <w:sz w:val="24"/>
              </w:rPr>
              <w:t>企业经历与</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行业影响力</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w:t>
            </w:r>
            <w:r>
              <w:rPr>
                <w:rFonts w:hint="eastAsia" w:ascii="Times New Roman" w:hAnsi="Times New Roman" w:eastAsia="方正仿宋简体"/>
                <w:sz w:val="24"/>
              </w:rPr>
              <w:t>0</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累计具有企业（单位）相关技术（或管理）岗位3年以上工作经历，拥有至少一项中级（国家职业资格四级）以上有效职业资格；近3年一直在企业（或行业协会、单位、机构等）中兼任相关技术（或管理）职务，在行业企业的技术领域具有一定影响力，且取得了行业企业公认的实质性工作成果或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12" w:hRule="atLeast"/>
          <w:jc w:val="center"/>
        </w:trPr>
        <w:tc>
          <w:tcPr>
            <w:tcW w:w="670"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3.</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教</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学</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能</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力</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与</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水</w:t>
            </w:r>
          </w:p>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平</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教学</w:t>
            </w:r>
          </w:p>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效果</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15</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89" w:hRule="atLeast"/>
          <w:jc w:val="center"/>
        </w:trPr>
        <w:tc>
          <w:tcPr>
            <w:tcW w:w="670"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教学</w:t>
            </w:r>
          </w:p>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研究</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10</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670"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资源</w:t>
            </w:r>
          </w:p>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建设</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10</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资源整合能力强，效果好。有效整合社会资源，推进校企合作育人落到实处，资源利用率高；开发各种高职数字化专业教学资源，并为行业企业和其他高职院校所共享，建设水平高，社会广泛认可。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42" w:hRule="atLeast"/>
          <w:jc w:val="center"/>
        </w:trPr>
        <w:tc>
          <w:tcPr>
            <w:tcW w:w="670"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教学</w:t>
            </w:r>
          </w:p>
          <w:p>
            <w:pPr>
              <w:snapToGrid w:val="0"/>
              <w:spacing w:line="300" w:lineRule="exact"/>
              <w:ind w:left="240" w:hanging="240" w:hangingChars="100"/>
              <w:jc w:val="center"/>
              <w:rPr>
                <w:rFonts w:ascii="Times New Roman" w:hAnsi="Times New Roman" w:eastAsia="方正仿宋简体"/>
                <w:sz w:val="24"/>
              </w:rPr>
            </w:pPr>
            <w:r>
              <w:rPr>
                <w:rFonts w:ascii="Times New Roman" w:hAnsi="Times New Roman" w:eastAsia="方正仿宋简体"/>
                <w:sz w:val="24"/>
              </w:rPr>
              <w:t>实施</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10</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教学实施规范有效，能按照有关教学文件要求规范实施教学；勇于探索，敢于创新，实现了工学结合课程教学有效组织和管理；利用信息技术改革学生学业评价方式，成效显著。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88" w:hRule="atLeast"/>
          <w:jc w:val="center"/>
        </w:trPr>
        <w:tc>
          <w:tcPr>
            <w:tcW w:w="193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4.社会服务能力</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15</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kern w:val="13"/>
                <w:sz w:val="24"/>
              </w:rPr>
            </w:pPr>
            <w:r>
              <w:rPr>
                <w:rFonts w:ascii="Times New Roman" w:hAnsi="Times New Roman" w:eastAsia="方正仿宋简体"/>
                <w:sz w:val="24"/>
              </w:rPr>
              <w:t>面向行业企业实际需求，开展相关生产、技术和培训服务，效果良好，服务收益高；独立或与行业企业合作开展技术应用性研究及应用推广。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8" w:hRule="atLeast"/>
          <w:jc w:val="center"/>
        </w:trPr>
        <w:tc>
          <w:tcPr>
            <w:tcW w:w="193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5.教学团队建设</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sz w:val="24"/>
              </w:rPr>
            </w:pPr>
            <w:r>
              <w:rPr>
                <w:rFonts w:ascii="Times New Roman" w:hAnsi="Times New Roman" w:eastAsia="方正仿宋简体"/>
                <w:sz w:val="24"/>
              </w:rPr>
              <w:t>1</w:t>
            </w:r>
            <w:r>
              <w:rPr>
                <w:rFonts w:hint="eastAsia" w:ascii="Times New Roman" w:hAnsi="Times New Roman" w:eastAsia="方正仿宋简体"/>
                <w:sz w:val="24"/>
              </w:rPr>
              <w:t>0</w:t>
            </w:r>
          </w:p>
        </w:tc>
        <w:tc>
          <w:tcPr>
            <w:tcW w:w="66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榜样作用明显，教学团队建设水平高。利用自身影响力，吸引行业企业一线技术骨干参与人才培养，兼职教师队伍水平高；指导专业教师参与教学实践和企业实践，提高青年教师执教能力；有良好的“传、帮、带”团队建设文化。</w:t>
            </w:r>
          </w:p>
        </w:tc>
      </w:tr>
    </w:tbl>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2018年“万人计划”教学名师（中等及</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中等以下学校）遴选工作指标体系</w:t>
      </w:r>
    </w:p>
    <w:p>
      <w:pPr>
        <w:spacing w:beforeLines="50"/>
        <w:jc w:val="center"/>
        <w:rPr>
          <w:rFonts w:ascii="楷体_GB2312" w:hAnsi="楷体_GB2312" w:eastAsia="楷体_GB2312" w:cs="楷体_GB2312"/>
          <w:sz w:val="32"/>
          <w:szCs w:val="32"/>
        </w:rPr>
      </w:pPr>
      <w:r>
        <w:rPr>
          <w:rFonts w:hint="eastAsia" w:ascii="楷体_GB2312" w:hAnsi="楷体_GB2312" w:eastAsia="楷体_GB2312" w:cs="楷体_GB2312"/>
          <w:b/>
          <w:bCs/>
          <w:sz w:val="32"/>
          <w:szCs w:val="32"/>
        </w:rPr>
        <w:t>（中等职业学校）</w:t>
      </w:r>
    </w:p>
    <w:tbl>
      <w:tblPr>
        <w:tblStyle w:val="6"/>
        <w:tblW w:w="9278" w:type="dxa"/>
        <w:jc w:val="center"/>
        <w:tblInd w:w="-1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971"/>
        <w:gridCol w:w="660"/>
        <w:gridCol w:w="6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1" w:hRule="atLeast"/>
          <w:jc w:val="center"/>
        </w:trPr>
        <w:tc>
          <w:tcPr>
            <w:tcW w:w="1684" w:type="dxa"/>
            <w:gridSpan w:val="2"/>
            <w:vMerge w:val="restart"/>
            <w:tcBorders>
              <w:top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b/>
                <w:bCs/>
                <w:sz w:val="24"/>
              </w:rPr>
            </w:pPr>
            <w:r>
              <w:rPr>
                <w:rFonts w:hint="eastAsia" w:ascii="宋体" w:hAnsi="宋体" w:eastAsia="宋体" w:cs="宋体"/>
                <w:b/>
                <w:bCs/>
                <w:sz w:val="24"/>
              </w:rPr>
              <w:t>评选项目</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b/>
                <w:bCs/>
                <w:sz w:val="24"/>
              </w:rPr>
            </w:pPr>
            <w:r>
              <w:rPr>
                <w:rFonts w:hint="eastAsia" w:ascii="宋体" w:hAnsi="宋体" w:eastAsia="宋体" w:cs="宋体"/>
                <w:b/>
                <w:bCs/>
                <w:sz w:val="24"/>
              </w:rPr>
              <w:t>分</w:t>
            </w:r>
          </w:p>
          <w:p>
            <w:pPr>
              <w:snapToGrid w:val="0"/>
              <w:spacing w:line="340" w:lineRule="exact"/>
              <w:jc w:val="center"/>
              <w:rPr>
                <w:rFonts w:ascii="宋体" w:hAnsi="宋体" w:eastAsia="宋体" w:cs="宋体"/>
                <w:b/>
                <w:bCs/>
                <w:sz w:val="24"/>
              </w:rPr>
            </w:pPr>
            <w:r>
              <w:rPr>
                <w:rFonts w:hint="eastAsia" w:ascii="宋体" w:hAnsi="宋体" w:eastAsia="宋体" w:cs="宋体"/>
                <w:b/>
                <w:bCs/>
                <w:sz w:val="24"/>
              </w:rPr>
              <w:t>值</w:t>
            </w:r>
          </w:p>
        </w:tc>
        <w:tc>
          <w:tcPr>
            <w:tcW w:w="6934" w:type="dxa"/>
            <w:vMerge w:val="restart"/>
            <w:tcBorders>
              <w:top w:val="single" w:color="auto" w:sz="4" w:space="0"/>
              <w:left w:val="single" w:color="auto" w:sz="4" w:space="0"/>
              <w:bottom w:val="single" w:color="auto" w:sz="4" w:space="0"/>
            </w:tcBorders>
            <w:vAlign w:val="center"/>
          </w:tcPr>
          <w:p>
            <w:pPr>
              <w:snapToGrid w:val="0"/>
              <w:spacing w:line="340" w:lineRule="exact"/>
              <w:jc w:val="center"/>
              <w:rPr>
                <w:rFonts w:ascii="宋体" w:hAnsi="宋体" w:eastAsia="宋体" w:cs="宋体"/>
                <w:b/>
                <w:bCs/>
                <w:sz w:val="24"/>
              </w:rPr>
            </w:pPr>
            <w:r>
              <w:rPr>
                <w:rFonts w:hint="eastAsia" w:ascii="宋体" w:hAnsi="宋体" w:eastAsia="宋体" w:cs="宋体"/>
                <w:b/>
                <w:bCs/>
                <w:sz w:val="24"/>
              </w:rPr>
              <w:t>评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84" w:type="dxa"/>
            <w:gridSpan w:val="2"/>
            <w:vMerge w:val="continue"/>
            <w:tcBorders>
              <w:top w:val="single" w:color="auto" w:sz="4" w:space="0"/>
              <w:bottom w:val="single" w:color="auto" w:sz="4" w:space="0"/>
              <w:right w:val="single" w:color="auto" w:sz="4" w:space="0"/>
            </w:tcBorders>
            <w:vAlign w:val="center"/>
          </w:tcPr>
          <w:p>
            <w:pPr>
              <w:widowControl/>
              <w:snapToGrid w:val="0"/>
              <w:spacing w:line="340" w:lineRule="exact"/>
              <w:rPr>
                <w:rFonts w:ascii="宋体" w:hAnsi="宋体" w:eastAsia="宋体" w:cs="宋体"/>
                <w:sz w:val="24"/>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宋体" w:hAnsi="宋体" w:eastAsia="宋体" w:cs="宋体"/>
                <w:sz w:val="24"/>
              </w:rPr>
            </w:pPr>
          </w:p>
        </w:tc>
        <w:tc>
          <w:tcPr>
            <w:tcW w:w="6934" w:type="dxa"/>
            <w:vMerge w:val="continue"/>
            <w:tcBorders>
              <w:top w:val="single" w:color="auto" w:sz="4" w:space="0"/>
              <w:left w:val="single" w:color="auto" w:sz="4" w:space="0"/>
              <w:bottom w:val="single" w:color="auto" w:sz="4" w:space="0"/>
            </w:tcBorders>
            <w:vAlign w:val="center"/>
          </w:tcPr>
          <w:p>
            <w:pPr>
              <w:widowControl/>
              <w:snapToGrid w:val="0"/>
              <w:spacing w:line="3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684" w:type="dxa"/>
            <w:gridSpan w:val="2"/>
            <w:tcBorders>
              <w:top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1.师德风范</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20</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政治立场坚定，以教书育人为己任；敬业爱岗，以全身心投入为常态；治学严谨，知行统一，师德高尚，为人师表。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20" w:hRule="atLeast"/>
          <w:jc w:val="center"/>
        </w:trPr>
        <w:tc>
          <w:tcPr>
            <w:tcW w:w="1684" w:type="dxa"/>
            <w:gridSpan w:val="2"/>
            <w:tcBorders>
              <w:top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2.企业经历与行业影响力</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15</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累计具有企业相关技术岗位2年以上工作经历，或（近5年）每两年有2个月企事业单位实践经历。拥有至少一项高级（国家职业资格三级）及以上有效职业资格；一直在行业协会（或企业、单位、机构等）中兼任相关技术职务或担任一定职务，在行业企业的技术领域具有一定影响力，且近3年取得有实质性工作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45" w:hRule="atLeast"/>
          <w:jc w:val="center"/>
        </w:trPr>
        <w:tc>
          <w:tcPr>
            <w:tcW w:w="713" w:type="dxa"/>
            <w:vMerge w:val="restart"/>
            <w:tcBorders>
              <w:top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3.</w:t>
            </w:r>
          </w:p>
          <w:p>
            <w:pPr>
              <w:snapToGrid w:val="0"/>
              <w:spacing w:line="340" w:lineRule="exact"/>
              <w:jc w:val="center"/>
              <w:rPr>
                <w:rFonts w:ascii="宋体" w:hAnsi="宋体" w:eastAsia="宋体" w:cs="宋体"/>
                <w:sz w:val="24"/>
              </w:rPr>
            </w:pPr>
            <w:r>
              <w:rPr>
                <w:rFonts w:hint="eastAsia" w:ascii="宋体" w:hAnsi="宋体" w:eastAsia="宋体" w:cs="宋体"/>
                <w:sz w:val="24"/>
              </w:rPr>
              <w:t>教</w:t>
            </w:r>
          </w:p>
          <w:p>
            <w:pPr>
              <w:snapToGrid w:val="0"/>
              <w:spacing w:line="340" w:lineRule="exact"/>
              <w:jc w:val="center"/>
              <w:rPr>
                <w:rFonts w:ascii="宋体" w:hAnsi="宋体" w:eastAsia="宋体" w:cs="宋体"/>
                <w:sz w:val="24"/>
              </w:rPr>
            </w:pPr>
            <w:r>
              <w:rPr>
                <w:rFonts w:hint="eastAsia" w:ascii="宋体" w:hAnsi="宋体" w:eastAsia="宋体" w:cs="宋体"/>
                <w:sz w:val="24"/>
              </w:rPr>
              <w:t>学</w:t>
            </w:r>
          </w:p>
          <w:p>
            <w:pPr>
              <w:snapToGrid w:val="0"/>
              <w:spacing w:line="340" w:lineRule="exact"/>
              <w:jc w:val="center"/>
              <w:rPr>
                <w:rFonts w:ascii="宋体" w:hAnsi="宋体" w:eastAsia="宋体" w:cs="宋体"/>
                <w:sz w:val="24"/>
              </w:rPr>
            </w:pPr>
            <w:r>
              <w:rPr>
                <w:rFonts w:hint="eastAsia" w:ascii="宋体" w:hAnsi="宋体" w:eastAsia="宋体" w:cs="宋体"/>
                <w:sz w:val="24"/>
              </w:rPr>
              <w:t>能</w:t>
            </w:r>
          </w:p>
          <w:p>
            <w:pPr>
              <w:snapToGrid w:val="0"/>
              <w:spacing w:line="340" w:lineRule="exact"/>
              <w:jc w:val="center"/>
              <w:rPr>
                <w:rFonts w:ascii="宋体" w:hAnsi="宋体" w:eastAsia="宋体" w:cs="宋体"/>
                <w:sz w:val="24"/>
              </w:rPr>
            </w:pPr>
            <w:r>
              <w:rPr>
                <w:rFonts w:hint="eastAsia" w:ascii="宋体" w:hAnsi="宋体" w:eastAsia="宋体" w:cs="宋体"/>
                <w:sz w:val="24"/>
              </w:rPr>
              <w:t>力</w:t>
            </w:r>
          </w:p>
          <w:p>
            <w:pPr>
              <w:snapToGrid w:val="0"/>
              <w:spacing w:line="340" w:lineRule="exact"/>
              <w:jc w:val="center"/>
              <w:rPr>
                <w:rFonts w:ascii="宋体" w:hAnsi="宋体" w:eastAsia="宋体" w:cs="宋体"/>
                <w:sz w:val="24"/>
              </w:rPr>
            </w:pPr>
            <w:r>
              <w:rPr>
                <w:rFonts w:hint="eastAsia" w:ascii="宋体" w:hAnsi="宋体" w:eastAsia="宋体" w:cs="宋体"/>
                <w:sz w:val="24"/>
              </w:rPr>
              <w:t>与</w:t>
            </w:r>
          </w:p>
          <w:p>
            <w:pPr>
              <w:snapToGrid w:val="0"/>
              <w:spacing w:line="340" w:lineRule="exact"/>
              <w:jc w:val="center"/>
              <w:rPr>
                <w:rFonts w:ascii="宋体" w:hAnsi="宋体" w:eastAsia="宋体" w:cs="宋体"/>
                <w:sz w:val="24"/>
              </w:rPr>
            </w:pPr>
            <w:r>
              <w:rPr>
                <w:rFonts w:hint="eastAsia" w:ascii="宋体" w:hAnsi="宋体" w:eastAsia="宋体" w:cs="宋体"/>
                <w:sz w:val="24"/>
              </w:rPr>
              <w:t>水</w:t>
            </w:r>
          </w:p>
          <w:p>
            <w:pPr>
              <w:snapToGrid w:val="0"/>
              <w:spacing w:line="340" w:lineRule="exact"/>
              <w:jc w:val="center"/>
              <w:rPr>
                <w:rFonts w:ascii="宋体" w:hAnsi="宋体" w:eastAsia="宋体" w:cs="宋体"/>
                <w:sz w:val="24"/>
              </w:rPr>
            </w:pPr>
            <w:r>
              <w:rPr>
                <w:rFonts w:hint="eastAsia" w:ascii="宋体" w:hAnsi="宋体" w:eastAsia="宋体" w:cs="宋体"/>
                <w:sz w:val="24"/>
              </w:rPr>
              <w:t>平</w:t>
            </w: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教学</w:t>
            </w:r>
          </w:p>
          <w:p>
            <w:pPr>
              <w:snapToGrid w:val="0"/>
              <w:spacing w:line="340" w:lineRule="exact"/>
              <w:jc w:val="center"/>
              <w:rPr>
                <w:rFonts w:ascii="宋体" w:hAnsi="宋体" w:eastAsia="宋体" w:cs="宋体"/>
                <w:sz w:val="24"/>
              </w:rPr>
            </w:pPr>
            <w:r>
              <w:rPr>
                <w:rFonts w:hint="eastAsia" w:ascii="宋体" w:hAnsi="宋体" w:eastAsia="宋体" w:cs="宋体"/>
                <w:sz w:val="24"/>
              </w:rPr>
              <w:t>效果</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15</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教学效果好。注重分析学生个体特点，坚持因材施教、个性化发展；关心学生成长，注重培养学生的职业道德和职业精神。近三年来，在学校组织的学生教学评价中均为优秀，成绩名列前茅。指导学生参加省级或国家级相关专业技能竞赛获得省级一等奖或国家级二等奖及其以上成绩；本人参加省级教师技能大赛获一等奖或参加国家级教师技能大赛获得三等奖及其以上奖励。获得省级以上教学成果、讲课（说课）等教学技能比赛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95" w:hRule="atLeast"/>
          <w:jc w:val="center"/>
        </w:trPr>
        <w:tc>
          <w:tcPr>
            <w:tcW w:w="713" w:type="dxa"/>
            <w:vMerge w:val="continue"/>
            <w:tcBorders>
              <w:right w:val="single" w:color="auto" w:sz="4" w:space="0"/>
            </w:tcBorders>
            <w:vAlign w:val="center"/>
          </w:tcPr>
          <w:p>
            <w:pPr>
              <w:widowControl/>
              <w:snapToGrid w:val="0"/>
              <w:spacing w:line="340" w:lineRule="exact"/>
              <w:jc w:val="center"/>
              <w:rPr>
                <w:rFonts w:ascii="宋体" w:hAnsi="宋体" w:eastAsia="宋体" w:cs="宋体"/>
                <w:sz w:val="24"/>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教学</w:t>
            </w:r>
          </w:p>
          <w:p>
            <w:pPr>
              <w:snapToGrid w:val="0"/>
              <w:spacing w:line="340" w:lineRule="exact"/>
              <w:jc w:val="center"/>
              <w:rPr>
                <w:rFonts w:ascii="宋体" w:hAnsi="宋体" w:eastAsia="宋体" w:cs="宋体"/>
                <w:sz w:val="24"/>
              </w:rPr>
            </w:pPr>
            <w:r>
              <w:rPr>
                <w:rFonts w:hint="eastAsia" w:ascii="宋体" w:hAnsi="宋体" w:eastAsia="宋体" w:cs="宋体"/>
                <w:sz w:val="24"/>
              </w:rPr>
              <w:t>研究</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15</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教研成果显著。近五年参与完成省级及以上教研项目，是主研人员之一，成果已鉴定合格或已得到推广；积极开展专业建设和课程建设，是省（部）及以上特色专业、品牌专业、精品课程、特色课程等专业建设或课程建设负责人；主编特色教材，被作为省级及以上规划教材推广使用，或获得省级及以上教材奖。积极研究职业教育教学特点与规律，在省级一级及以上公开发行的刊物上发表教研论文（第一作者）2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713" w:type="dxa"/>
            <w:vMerge w:val="continue"/>
            <w:tcBorders>
              <w:right w:val="single" w:color="auto" w:sz="4" w:space="0"/>
            </w:tcBorders>
            <w:vAlign w:val="center"/>
          </w:tcPr>
          <w:p>
            <w:pPr>
              <w:widowControl/>
              <w:snapToGrid w:val="0"/>
              <w:spacing w:line="340" w:lineRule="exact"/>
              <w:jc w:val="center"/>
              <w:rPr>
                <w:rFonts w:ascii="宋体" w:hAnsi="宋体" w:eastAsia="宋体" w:cs="宋体"/>
                <w:sz w:val="24"/>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资源</w:t>
            </w:r>
          </w:p>
          <w:p>
            <w:pPr>
              <w:snapToGrid w:val="0"/>
              <w:spacing w:line="340" w:lineRule="exact"/>
              <w:jc w:val="center"/>
              <w:rPr>
                <w:rFonts w:ascii="宋体" w:hAnsi="宋体" w:eastAsia="宋体" w:cs="宋体"/>
                <w:sz w:val="24"/>
              </w:rPr>
            </w:pPr>
            <w:r>
              <w:rPr>
                <w:rFonts w:hint="eastAsia" w:ascii="宋体" w:hAnsi="宋体" w:eastAsia="宋体" w:cs="宋体"/>
                <w:sz w:val="24"/>
              </w:rPr>
              <w:t>建设</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10</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资源整合能力强。有效整合社会资源，开展教学条件特别是实训实习条件的建设，开发实训项目和实训设备，建设各类实训平台；积极利用信息技术开发数字化教学资源，并为其他职业学校共享，社会认可度高。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5" w:hRule="atLeast"/>
          <w:jc w:val="center"/>
        </w:trPr>
        <w:tc>
          <w:tcPr>
            <w:tcW w:w="713" w:type="dxa"/>
            <w:vMerge w:val="continue"/>
            <w:tcBorders>
              <w:right w:val="single" w:color="auto" w:sz="4" w:space="0"/>
            </w:tcBorders>
            <w:vAlign w:val="center"/>
          </w:tcPr>
          <w:p>
            <w:pPr>
              <w:widowControl/>
              <w:snapToGrid w:val="0"/>
              <w:spacing w:line="340" w:lineRule="exact"/>
              <w:jc w:val="center"/>
              <w:rPr>
                <w:rFonts w:ascii="宋体" w:hAnsi="宋体" w:eastAsia="宋体" w:cs="宋体"/>
                <w:sz w:val="24"/>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教学</w:t>
            </w:r>
          </w:p>
          <w:p>
            <w:pPr>
              <w:snapToGrid w:val="0"/>
              <w:spacing w:line="340" w:lineRule="exact"/>
              <w:jc w:val="center"/>
              <w:rPr>
                <w:rFonts w:ascii="宋体" w:hAnsi="宋体" w:eastAsia="宋体" w:cs="宋体"/>
                <w:sz w:val="24"/>
              </w:rPr>
            </w:pPr>
            <w:r>
              <w:rPr>
                <w:rFonts w:hint="eastAsia" w:ascii="宋体" w:hAnsi="宋体" w:eastAsia="宋体" w:cs="宋体"/>
                <w:sz w:val="24"/>
              </w:rPr>
              <w:t>实施</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10</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sz w:val="24"/>
              </w:rPr>
            </w:pPr>
            <w:r>
              <w:rPr>
                <w:rFonts w:hint="eastAsia" w:ascii="宋体" w:hAnsi="宋体" w:eastAsia="宋体" w:cs="宋体"/>
                <w:sz w:val="24"/>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5" w:hRule="atLeast"/>
          <w:jc w:val="center"/>
        </w:trPr>
        <w:tc>
          <w:tcPr>
            <w:tcW w:w="1684" w:type="dxa"/>
            <w:gridSpan w:val="2"/>
            <w:tcBorders>
              <w:top w:val="single" w:color="auto" w:sz="4" w:space="0"/>
              <w:bottom w:val="single" w:color="auto" w:sz="4" w:space="0"/>
              <w:right w:val="single" w:color="auto" w:sz="4" w:space="0"/>
            </w:tcBorders>
            <w:vAlign w:val="center"/>
          </w:tcPr>
          <w:p>
            <w:pPr>
              <w:snapToGrid w:val="0"/>
              <w:spacing w:line="340" w:lineRule="exact"/>
              <w:jc w:val="center"/>
              <w:rPr>
                <w:rFonts w:ascii="宋体" w:hAnsi="宋体" w:eastAsia="宋体" w:cs="宋体"/>
                <w:sz w:val="24"/>
              </w:rPr>
            </w:pPr>
            <w:r>
              <w:rPr>
                <w:rFonts w:hint="eastAsia" w:ascii="宋体" w:hAnsi="宋体" w:eastAsia="宋体" w:cs="宋体"/>
                <w:sz w:val="24"/>
              </w:rPr>
              <w:t>4.社会服务</w:t>
            </w:r>
          </w:p>
          <w:p>
            <w:pPr>
              <w:snapToGrid w:val="0"/>
              <w:spacing w:line="340" w:lineRule="exact"/>
              <w:jc w:val="center"/>
              <w:rPr>
                <w:rFonts w:ascii="宋体" w:hAnsi="宋体" w:eastAsia="宋体" w:cs="宋体"/>
                <w:sz w:val="24"/>
              </w:rPr>
            </w:pPr>
            <w:r>
              <w:rPr>
                <w:rFonts w:hint="eastAsia" w:ascii="宋体" w:hAnsi="宋体" w:eastAsia="宋体" w:cs="宋体"/>
                <w:sz w:val="24"/>
              </w:rPr>
              <w:t>能力</w:t>
            </w:r>
          </w:p>
        </w:tc>
        <w:tc>
          <w:tcPr>
            <w:tcW w:w="6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15</w:t>
            </w:r>
          </w:p>
        </w:tc>
        <w:tc>
          <w:tcPr>
            <w:tcW w:w="6934" w:type="dxa"/>
            <w:tcBorders>
              <w:top w:val="single" w:color="auto" w:sz="4" w:space="0"/>
              <w:left w:val="single" w:color="auto" w:sz="4" w:space="0"/>
              <w:bottom w:val="single" w:color="auto" w:sz="4" w:space="0"/>
            </w:tcBorders>
            <w:vAlign w:val="center"/>
          </w:tcPr>
          <w:p>
            <w:pPr>
              <w:spacing w:line="320" w:lineRule="exact"/>
              <w:rPr>
                <w:rFonts w:ascii="宋体" w:hAnsi="宋体" w:eastAsia="宋体" w:cs="宋体"/>
                <w:kern w:val="13"/>
                <w:sz w:val="24"/>
              </w:rPr>
            </w:pPr>
            <w:r>
              <w:rPr>
                <w:rFonts w:hint="eastAsia" w:ascii="宋体" w:hAnsi="宋体" w:eastAsia="宋体" w:cs="宋体"/>
                <w:sz w:val="24"/>
              </w:rPr>
              <w:t>面向行业企业实际需求，积极参与行业企业技术改造、新技术推广工作，取得明显的经济效益和社会效益；主持或承担有来自相应行业企业的横向课题或获得有具有产业价值的技术专利。</w:t>
            </w:r>
          </w:p>
        </w:tc>
      </w:tr>
    </w:tbl>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2018年“万人计划”教学名师（中等及中等以下学校）遴选工作指标体系</w:t>
      </w:r>
    </w:p>
    <w:p>
      <w:pPr>
        <w:spacing w:beforeLines="50"/>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（中小学校、幼儿园、特殊教育学校）</w:t>
      </w:r>
    </w:p>
    <w:tbl>
      <w:tblPr>
        <w:tblStyle w:val="6"/>
        <w:tblW w:w="9224" w:type="dxa"/>
        <w:jc w:val="center"/>
        <w:tblInd w:w="-1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1268"/>
        <w:gridCol w:w="685"/>
        <w:gridCol w:w="6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3" w:hRule="atLeast"/>
          <w:jc w:val="center"/>
        </w:trPr>
        <w:tc>
          <w:tcPr>
            <w:tcW w:w="1965" w:type="dxa"/>
            <w:gridSpan w:val="2"/>
            <w:vMerge w:val="restart"/>
            <w:tcBorders>
              <w:top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评选项目</w:t>
            </w:r>
          </w:p>
        </w:tc>
        <w:tc>
          <w:tcPr>
            <w:tcW w:w="68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分</w:t>
            </w:r>
          </w:p>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值</w:t>
            </w:r>
          </w:p>
        </w:tc>
        <w:tc>
          <w:tcPr>
            <w:tcW w:w="6574" w:type="dxa"/>
            <w:vMerge w:val="restart"/>
            <w:tcBorders>
              <w:top w:val="single" w:color="auto" w:sz="4" w:space="0"/>
              <w:left w:val="single" w:color="auto" w:sz="4" w:space="0"/>
              <w:bottom w:val="single" w:color="auto" w:sz="4" w:space="0"/>
            </w:tcBorders>
            <w:vAlign w:val="center"/>
          </w:tcPr>
          <w:p>
            <w:pPr>
              <w:spacing w:line="280" w:lineRule="exact"/>
              <w:jc w:val="center"/>
              <w:rPr>
                <w:rFonts w:ascii="Times New Roman" w:hAnsi="Times New Roman" w:eastAsia="方正仿宋简体"/>
                <w:b/>
                <w:bCs/>
                <w:sz w:val="24"/>
              </w:rPr>
            </w:pPr>
            <w:r>
              <w:rPr>
                <w:rFonts w:ascii="Times New Roman" w:hAnsi="Times New Roman" w:eastAsia="方正仿宋简体"/>
                <w:b/>
                <w:bCs/>
                <w:sz w:val="24"/>
              </w:rPr>
              <w:t>评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1965" w:type="dxa"/>
            <w:gridSpan w:val="2"/>
            <w:vMerge w:val="continue"/>
            <w:tcBorders>
              <w:top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sz w:val="24"/>
              </w:rPr>
            </w:pPr>
          </w:p>
        </w:tc>
        <w:tc>
          <w:tcPr>
            <w:tcW w:w="6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sz w:val="24"/>
              </w:rPr>
            </w:pPr>
          </w:p>
        </w:tc>
        <w:tc>
          <w:tcPr>
            <w:tcW w:w="6574" w:type="dxa"/>
            <w:vMerge w:val="continue"/>
            <w:tcBorders>
              <w:top w:val="single" w:color="auto" w:sz="4" w:space="0"/>
              <w:left w:val="single" w:color="auto" w:sz="4" w:space="0"/>
              <w:bottom w:val="single" w:color="auto" w:sz="4" w:space="0"/>
            </w:tcBorders>
            <w:vAlign w:val="center"/>
          </w:tcPr>
          <w:p>
            <w:pPr>
              <w:widowControl/>
              <w:spacing w:line="280" w:lineRule="exact"/>
              <w:jc w:val="lef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4" w:hRule="atLeast"/>
          <w:jc w:val="center"/>
        </w:trPr>
        <w:tc>
          <w:tcPr>
            <w:tcW w:w="1965" w:type="dxa"/>
            <w:gridSpan w:val="2"/>
            <w:tcBorders>
              <w:top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1．师德风范</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hint="eastAsia" w:ascii="Times New Roman" w:hAnsi="Times New Roman" w:eastAsia="方正仿宋简体"/>
                <w:sz w:val="24"/>
              </w:rPr>
              <w:t>20</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忠诚党的教育事业，全面贯彻党和国家的教育方针；热爱学生，具有独特的人格魅力和学识魅力，学为人师、行为世范，深受学生喜欢和好评，是践行教师职业道德规范的典范，学生健康成长的指导者和引路人。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92" w:hRule="atLeast"/>
          <w:jc w:val="center"/>
        </w:trPr>
        <w:tc>
          <w:tcPr>
            <w:tcW w:w="697" w:type="dxa"/>
            <w:vMerge w:val="restart"/>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2.</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教</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学</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能</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力</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与</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水</w:t>
            </w:r>
          </w:p>
          <w:p>
            <w:pPr>
              <w:widowControl/>
              <w:spacing w:line="260" w:lineRule="exact"/>
              <w:jc w:val="center"/>
              <w:rPr>
                <w:rFonts w:ascii="Times New Roman" w:hAnsi="Times New Roman" w:eastAsia="方正仿宋简体"/>
                <w:sz w:val="24"/>
              </w:rPr>
            </w:pPr>
            <w:r>
              <w:rPr>
                <w:rFonts w:ascii="Times New Roman" w:hAnsi="Times New Roman" w:eastAsia="方正仿宋简体"/>
                <w:sz w:val="24"/>
              </w:rPr>
              <w:t>平</w:t>
            </w:r>
          </w:p>
        </w:tc>
        <w:tc>
          <w:tcPr>
            <w:tcW w:w="126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教学思想与内容</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15</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5" w:hRule="atLeast"/>
          <w:jc w:val="center"/>
        </w:trPr>
        <w:tc>
          <w:tcPr>
            <w:tcW w:w="697" w:type="dxa"/>
            <w:vMerge w:val="continue"/>
            <w:tcBorders>
              <w:top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简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教学艺术与方法</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15</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16" w:hRule="atLeast"/>
          <w:jc w:val="center"/>
        </w:trPr>
        <w:tc>
          <w:tcPr>
            <w:tcW w:w="697" w:type="dxa"/>
            <w:vMerge w:val="continue"/>
            <w:tcBorders>
              <w:top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简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教学改革与成就</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15</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w w:val="80"/>
                <w:sz w:val="24"/>
              </w:rPr>
            </w:pPr>
            <w:r>
              <w:rPr>
                <w:rFonts w:ascii="Times New Roman" w:hAnsi="Times New Roman" w:eastAsia="方正仿宋简体"/>
                <w:sz w:val="24"/>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73" w:hRule="atLeast"/>
          <w:jc w:val="center"/>
        </w:trPr>
        <w:tc>
          <w:tcPr>
            <w:tcW w:w="697" w:type="dxa"/>
            <w:vMerge w:val="continue"/>
            <w:tcBorders>
              <w:top w:val="single" w:color="auto" w:sz="4" w:space="0"/>
              <w:bottom w:val="single" w:color="auto" w:sz="4" w:space="0"/>
              <w:right w:val="single" w:color="auto" w:sz="4" w:space="0"/>
            </w:tcBorders>
            <w:vAlign w:val="center"/>
          </w:tcPr>
          <w:p>
            <w:pPr>
              <w:widowControl/>
              <w:spacing w:line="260" w:lineRule="exact"/>
              <w:jc w:val="left"/>
              <w:rPr>
                <w:rFonts w:ascii="Times New Roman" w:hAnsi="Times New Roman" w:eastAsia="方正仿宋简体"/>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教学</w:t>
            </w:r>
          </w:p>
          <w:p>
            <w:pPr>
              <w:spacing w:line="260" w:lineRule="exact"/>
              <w:jc w:val="center"/>
              <w:rPr>
                <w:rFonts w:ascii="Times New Roman" w:hAnsi="Times New Roman" w:eastAsia="方正仿宋简体"/>
                <w:sz w:val="24"/>
              </w:rPr>
            </w:pPr>
            <w:r>
              <w:rPr>
                <w:rFonts w:ascii="Times New Roman" w:hAnsi="Times New Roman" w:eastAsia="方正仿宋简体"/>
                <w:sz w:val="24"/>
              </w:rPr>
              <w:t>效果</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15</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所开课程深受学生、同行好评，形成独特而有效的教学风格；教学效果好，主讲课程在全国同类型同层次学校和同学科中有较大影响，起到示范引领作用；学生、家长满意率高。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8" w:hRule="atLeast"/>
          <w:jc w:val="center"/>
        </w:trPr>
        <w:tc>
          <w:tcPr>
            <w:tcW w:w="1965" w:type="dxa"/>
            <w:gridSpan w:val="2"/>
            <w:tcBorders>
              <w:top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sz w:val="24"/>
              </w:rPr>
            </w:pPr>
            <w:r>
              <w:rPr>
                <w:rFonts w:ascii="Times New Roman" w:hAnsi="Times New Roman" w:eastAsia="方正仿宋简体"/>
                <w:sz w:val="24"/>
              </w:rPr>
              <w:t>3．教学梯队建设与贡献</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sz w:val="24"/>
              </w:rPr>
            </w:pPr>
            <w:r>
              <w:rPr>
                <w:rFonts w:ascii="Times New Roman" w:hAnsi="Times New Roman" w:eastAsia="方正仿宋简体"/>
                <w:sz w:val="24"/>
              </w:rPr>
              <w:t>2</w:t>
            </w:r>
            <w:r>
              <w:rPr>
                <w:rFonts w:hint="eastAsia" w:ascii="Times New Roman" w:hAnsi="Times New Roman" w:eastAsia="方正仿宋简体"/>
                <w:sz w:val="24"/>
              </w:rPr>
              <w:t>0</w:t>
            </w:r>
          </w:p>
        </w:tc>
        <w:tc>
          <w:tcPr>
            <w:tcW w:w="6574"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方正仿宋简体"/>
                <w:sz w:val="24"/>
              </w:rPr>
            </w:pPr>
            <w:r>
              <w:rPr>
                <w:rFonts w:ascii="Times New Roman" w:hAnsi="Times New Roman" w:eastAsia="方正仿宋简体"/>
                <w:sz w:val="24"/>
              </w:rPr>
              <w:t>重视教学队伍建设，自觉指导和帮助中青年教师不断提高教学水平；在全国同层次学校同学科中具有较高的威望和知名度；承担过市级以上示范课、公开课、观摩课任务；承担校本研修的培训工作；对形成合理的教学梯队作出重要贡献。</w:t>
            </w:r>
          </w:p>
        </w:tc>
      </w:tr>
    </w:tbl>
    <w:p>
      <w:pPr>
        <w:spacing w:line="660" w:lineRule="exact"/>
        <w:jc w:val="left"/>
        <w:rPr>
          <w:rFonts w:ascii="仿宋_GB2312" w:hAnsi="仿宋_GB2312" w:eastAsia="仿宋_GB2312" w:cs="仿宋_GB2312"/>
          <w:bCs/>
          <w:sz w:val="32"/>
          <w:szCs w:val="32"/>
        </w:rPr>
      </w:pPr>
    </w:p>
    <w:p>
      <w:pPr>
        <w:spacing w:line="660" w:lineRule="exact"/>
        <w:jc w:val="right"/>
        <w:rPr>
          <w:rFonts w:ascii="仿宋_GB2312" w:hAnsi="仿宋_GB2312" w:eastAsia="仿宋_GB2312" w:cs="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D3E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rFonts w:ascii="Calibri" w:hAnsi="Calibri" w:eastAsia="宋体" w:cs="黑体"/>
      <w:kern w:val="2"/>
      <w:sz w:val="18"/>
      <w:szCs w:val="18"/>
    </w:rPr>
  </w:style>
  <w:style w:type="character" w:customStyle="1" w:styleId="8">
    <w:name w:val="页眉 Char"/>
    <w:basedOn w:val="5"/>
    <w:link w:val="4"/>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909</Words>
  <Characters>5184</Characters>
  <Lines>43</Lines>
  <Paragraphs>12</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2018-08-28T02:29:00Z</dcterms:created>
  <dc:creator>禾禾</dc:creator>
  <cp:lastModifiedBy>ptwzbgs</cp:lastModifiedBy>
  <dcterms:modified xsi:type="dcterms:W3CDTF">2018-08-29T00:11:40Z</dcterms:modified>
  <dc:title>    有遴选对象，请于9月3日前将申报材料（见省厅文件）上报区教育局办公室（307）。</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